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E86974" w:rsidRPr="002A102C" w14:paraId="55056819" w14:textId="77777777">
        <w:trPr>
          <w:trHeight w:hRule="exact" w:val="979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9C244F" w14:textId="77777777" w:rsidR="00E86974" w:rsidRPr="002A102C" w:rsidRDefault="00E86974">
            <w:pPr>
              <w:pStyle w:val="Titre1"/>
            </w:pPr>
            <w:r w:rsidRPr="002A102C">
              <w:t>BIOGRAPHICAL SKETCH</w:t>
            </w:r>
          </w:p>
          <w:p w14:paraId="5829C207" w14:textId="77777777" w:rsidR="00E86974" w:rsidRPr="002A102C" w:rsidRDefault="00E86974" w:rsidP="00E86974">
            <w:pPr>
              <w:pStyle w:val="HeadNoteNotItalics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 xml:space="preserve">Provide the following information for the proposed network coordinators and members </w:t>
            </w:r>
            <w:r w:rsidRPr="002A102C">
              <w:rPr>
                <w:sz w:val="22"/>
                <w:szCs w:val="22"/>
              </w:rPr>
              <w:br w:type="textWrapping" w:clear="all"/>
              <w:t xml:space="preserve">Follow this format for each person. </w:t>
            </w:r>
            <w:r w:rsidRPr="002A102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6974" w:rsidRPr="002A102C" w14:paraId="40A82E8F" w14:textId="77777777">
        <w:trPr>
          <w:trHeight w:hRule="exact" w:val="216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7773F4" w14:textId="77777777" w:rsidR="00E86974" w:rsidRPr="002A102C" w:rsidRDefault="00E86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74" w:rsidRPr="002A102C" w14:paraId="126DE687" w14:textId="77777777" w:rsidTr="00982EA8">
        <w:trPr>
          <w:trHeight w:val="214"/>
          <w:jc w:val="center"/>
        </w:trPr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F0EF267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NAME</w:t>
            </w:r>
          </w:p>
          <w:p w14:paraId="4B7613B6" w14:textId="7D83CA41" w:rsidR="00E86974" w:rsidRPr="002A102C" w:rsidRDefault="00D27509">
            <w:pPr>
              <w:pStyle w:val="DataField11pt-Single"/>
              <w:rPr>
                <w:szCs w:val="22"/>
              </w:rPr>
            </w:pPr>
            <w:r w:rsidRPr="002A102C">
              <w:rPr>
                <w:szCs w:val="22"/>
              </w:rPr>
              <w:t>Vivien, Denis</w:t>
            </w:r>
          </w:p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0BDF1319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POSITION TITLE</w:t>
            </w:r>
          </w:p>
          <w:p w14:paraId="07EC61BB" w14:textId="4610EA70" w:rsidR="00E86974" w:rsidRPr="002A102C" w:rsidRDefault="00D27509">
            <w:pPr>
              <w:pStyle w:val="DataField11pt-Single"/>
              <w:rPr>
                <w:szCs w:val="22"/>
              </w:rPr>
            </w:pPr>
            <w:r w:rsidRPr="002A102C">
              <w:rPr>
                <w:szCs w:val="22"/>
              </w:rPr>
              <w:t>Full professor – Hospital Practitioner</w:t>
            </w:r>
          </w:p>
        </w:tc>
      </w:tr>
    </w:tbl>
    <w:p w14:paraId="2F8F393C" w14:textId="4D89768B" w:rsidR="00D27509" w:rsidRPr="002A102C" w:rsidRDefault="00D27509" w:rsidP="00D27509">
      <w:pPr>
        <w:pBdr>
          <w:between w:val="single" w:sz="4" w:space="1" w:color="auto"/>
        </w:pBdr>
        <w:tabs>
          <w:tab w:val="left" w:pos="270"/>
        </w:tabs>
        <w:spacing w:after="160"/>
        <w:ind w:firstLine="142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30"/>
        <w:gridCol w:w="1530"/>
        <w:gridCol w:w="1584"/>
        <w:gridCol w:w="2592"/>
      </w:tblGrid>
      <w:tr w:rsidR="00D27509" w:rsidRPr="008B36B6" w14:paraId="29161B73" w14:textId="77777777" w:rsidTr="00D27509">
        <w:trPr>
          <w:cantSplit/>
          <w:tblHeader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903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14A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DEGREE</w:t>
            </w:r>
          </w:p>
          <w:p w14:paraId="46532A9B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rStyle w:val="Accentuation"/>
                <w:sz w:val="20"/>
                <w:szCs w:val="20"/>
              </w:rPr>
              <w:t>(if applicable)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5C83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Completion Date</w:t>
            </w:r>
          </w:p>
          <w:p w14:paraId="4668167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MM/YYYY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677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FIELD OF STUDY</w:t>
            </w:r>
          </w:p>
        </w:tc>
      </w:tr>
      <w:tr w:rsidR="00D27509" w:rsidRPr="008B36B6" w14:paraId="236A0F4B" w14:textId="77777777" w:rsidTr="00D27509">
        <w:trPr>
          <w:cantSplit/>
          <w:trHeight w:val="395"/>
        </w:trPr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5027D9FA" w14:textId="77777777" w:rsidR="00D27509" w:rsidRPr="008B36B6" w:rsidRDefault="00D27509" w:rsidP="00FE6ED7">
            <w:pPr>
              <w:pStyle w:val="DataField11pt-Single"/>
              <w:jc w:val="both"/>
              <w:rPr>
                <w:sz w:val="20"/>
              </w:rPr>
            </w:pPr>
            <w:r w:rsidRPr="008B36B6">
              <w:rPr>
                <w:sz w:val="20"/>
              </w:rPr>
              <w:t>Paris XI, Orsay University (Paris, France)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3E22570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PhD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5C2F675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1992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1375A5E5" w14:textId="77777777" w:rsidR="00D27509" w:rsidRPr="008B36B6" w:rsidRDefault="00D27509" w:rsidP="00FE6ED7">
            <w:pPr>
              <w:pStyle w:val="DataField11pt-Single"/>
              <w:rPr>
                <w:sz w:val="20"/>
              </w:rPr>
            </w:pPr>
            <w:r w:rsidRPr="008B36B6">
              <w:rPr>
                <w:sz w:val="20"/>
              </w:rPr>
              <w:t>Molecular and cell biology</w:t>
            </w:r>
          </w:p>
        </w:tc>
      </w:tr>
      <w:tr w:rsidR="00D27509" w:rsidRPr="008B36B6" w14:paraId="14B55A52" w14:textId="77777777" w:rsidTr="00D27509">
        <w:trPr>
          <w:cantSplit/>
          <w:trHeight w:val="395"/>
        </w:trPr>
        <w:tc>
          <w:tcPr>
            <w:tcW w:w="5130" w:type="dxa"/>
            <w:vAlign w:val="center"/>
          </w:tcPr>
          <w:p w14:paraId="36D98690" w14:textId="77777777" w:rsidR="00D27509" w:rsidRPr="008B36B6" w:rsidRDefault="00D27509" w:rsidP="00FE6ED7">
            <w:pPr>
              <w:pStyle w:val="DataField11pt-Single"/>
              <w:jc w:val="both"/>
              <w:rPr>
                <w:sz w:val="20"/>
              </w:rPr>
            </w:pPr>
            <w:r w:rsidRPr="008B36B6">
              <w:rPr>
                <w:sz w:val="20"/>
              </w:rPr>
              <w:t>Sloan Kettering Howard Hughes Institute (New York, U.S.)</w:t>
            </w:r>
          </w:p>
        </w:tc>
        <w:tc>
          <w:tcPr>
            <w:tcW w:w="1530" w:type="dxa"/>
            <w:vAlign w:val="center"/>
          </w:tcPr>
          <w:p w14:paraId="520C25BE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Postdoctoral</w:t>
            </w:r>
          </w:p>
        </w:tc>
        <w:tc>
          <w:tcPr>
            <w:tcW w:w="1584" w:type="dxa"/>
            <w:vAlign w:val="center"/>
          </w:tcPr>
          <w:p w14:paraId="3710C549" w14:textId="77777777" w:rsidR="00D27509" w:rsidRPr="008B36B6" w:rsidRDefault="00D27509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1994</w:t>
            </w:r>
          </w:p>
        </w:tc>
        <w:tc>
          <w:tcPr>
            <w:tcW w:w="2592" w:type="dxa"/>
            <w:vAlign w:val="center"/>
          </w:tcPr>
          <w:p w14:paraId="196D6481" w14:textId="77777777" w:rsidR="00D27509" w:rsidRPr="008B36B6" w:rsidRDefault="00D27509" w:rsidP="00FE6ED7">
            <w:pPr>
              <w:pStyle w:val="DataField11pt-Single"/>
              <w:rPr>
                <w:sz w:val="20"/>
              </w:rPr>
            </w:pPr>
            <w:r w:rsidRPr="008B36B6">
              <w:rPr>
                <w:sz w:val="20"/>
              </w:rPr>
              <w:t>Cancer research/ molecular biology</w:t>
            </w:r>
          </w:p>
        </w:tc>
      </w:tr>
      <w:tr w:rsidR="00D27509" w:rsidRPr="008B36B6" w14:paraId="706E26F1" w14:textId="77777777" w:rsidTr="00D27509">
        <w:trPr>
          <w:cantSplit/>
          <w:trHeight w:val="395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14:paraId="0C56AAC6" w14:textId="77777777" w:rsidR="00D27509" w:rsidRPr="008B36B6" w:rsidRDefault="00D27509" w:rsidP="00FE6ED7">
            <w:pPr>
              <w:pStyle w:val="FormFieldCaption"/>
              <w:spacing w:before="20" w:after="20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Caen Normandy University (France)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73E21D22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HDR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vAlign w:val="center"/>
          </w:tcPr>
          <w:p w14:paraId="44848BD3" w14:textId="77777777" w:rsidR="00D27509" w:rsidRPr="008B36B6" w:rsidRDefault="00D27509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1997</w:t>
            </w: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</w:tcPr>
          <w:p w14:paraId="2BF4FBD7" w14:textId="77777777" w:rsidR="00D27509" w:rsidRPr="008B36B6" w:rsidRDefault="00D27509" w:rsidP="00FE6ED7">
            <w:pPr>
              <w:pStyle w:val="DataField11pt-Single"/>
              <w:rPr>
                <w:sz w:val="20"/>
              </w:rPr>
            </w:pPr>
            <w:r w:rsidRPr="008B36B6">
              <w:rPr>
                <w:sz w:val="20"/>
              </w:rPr>
              <w:t>Neurosciences</w:t>
            </w:r>
          </w:p>
        </w:tc>
      </w:tr>
    </w:tbl>
    <w:p w14:paraId="6E1B72A4" w14:textId="77777777" w:rsidR="00E86974" w:rsidRPr="002A102C" w:rsidRDefault="00E86974">
      <w:pPr>
        <w:pStyle w:val="DataField11pt-Single"/>
        <w:rPr>
          <w:szCs w:val="22"/>
        </w:rPr>
        <w:sectPr w:rsidR="00E86974" w:rsidRPr="002A102C" w:rsidSect="00E86974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05CA2273" w14:textId="77777777" w:rsidR="00D27509" w:rsidRPr="002A102C" w:rsidRDefault="00E86974" w:rsidP="00D27509">
      <w:pPr>
        <w:pStyle w:val="DataField11pt-Single"/>
        <w:numPr>
          <w:ilvl w:val="0"/>
          <w:numId w:val="23"/>
        </w:numPr>
        <w:spacing w:after="60"/>
        <w:ind w:left="284" w:hanging="284"/>
        <w:rPr>
          <w:b/>
          <w:bCs/>
          <w:szCs w:val="22"/>
        </w:rPr>
      </w:pPr>
      <w:r w:rsidRPr="002A102C">
        <w:rPr>
          <w:b/>
          <w:bCs/>
          <w:szCs w:val="22"/>
        </w:rPr>
        <w:t>Positions and Honors</w:t>
      </w:r>
    </w:p>
    <w:p w14:paraId="065F281B" w14:textId="639322BA" w:rsidR="00D27509" w:rsidRPr="002A102C" w:rsidRDefault="00D27509" w:rsidP="007C1C1B">
      <w:pPr>
        <w:pStyle w:val="DataField11pt-Single"/>
        <w:spacing w:after="60"/>
        <w:jc w:val="both"/>
        <w:rPr>
          <w:b/>
          <w:bCs/>
          <w:szCs w:val="22"/>
        </w:rPr>
      </w:pPr>
      <w:r w:rsidRPr="002A102C">
        <w:rPr>
          <w:rFonts w:eastAsia="Calibri"/>
          <w:b/>
          <w:bCs/>
          <w:szCs w:val="22"/>
        </w:rPr>
        <w:t>2019-</w:t>
      </w:r>
      <w:r w:rsidR="002A102C">
        <w:rPr>
          <w:rFonts w:eastAsia="Calibri"/>
          <w:b/>
          <w:bCs/>
          <w:szCs w:val="22"/>
        </w:rPr>
        <w:t>x</w:t>
      </w:r>
      <w:r w:rsidRPr="002A102C">
        <w:rPr>
          <w:rFonts w:eastAsia="Calibri"/>
          <w:szCs w:val="22"/>
        </w:rPr>
        <w:t xml:space="preserve"> </w:t>
      </w:r>
      <w:r w:rsidRPr="002A102C">
        <w:rPr>
          <w:rFonts w:eastAsia="Calibri"/>
          <w:szCs w:val="22"/>
        </w:rPr>
        <w:tab/>
        <w:t>S</w:t>
      </w:r>
      <w:r w:rsidRPr="002A102C">
        <w:rPr>
          <w:szCs w:val="22"/>
        </w:rPr>
        <w:t>cientific Director Blood and Brain @ Caen-Normandie Institute, bb-c.fr</w:t>
      </w:r>
      <w:r w:rsidR="008B36B6">
        <w:rPr>
          <w:b/>
          <w:bCs/>
          <w:szCs w:val="22"/>
        </w:rPr>
        <w:t xml:space="preserve"> - </w:t>
      </w:r>
      <w:r w:rsidRPr="002A102C">
        <w:rPr>
          <w:rFonts w:eastAsia="Calibri"/>
          <w:b/>
          <w:bCs/>
          <w:szCs w:val="22"/>
        </w:rPr>
        <w:t>2017-</w:t>
      </w:r>
      <w:r w:rsidR="002A102C">
        <w:rPr>
          <w:rFonts w:eastAsia="Calibri"/>
          <w:b/>
          <w:bCs/>
          <w:szCs w:val="22"/>
        </w:rPr>
        <w:t>x</w:t>
      </w:r>
      <w:r w:rsidRPr="002A102C">
        <w:rPr>
          <w:rFonts w:eastAsia="Calibri"/>
          <w:szCs w:val="22"/>
        </w:rPr>
        <w:tab/>
        <w:t xml:space="preserve">Director INSERM UMR-S </w:t>
      </w:r>
      <w:proofErr w:type="spellStart"/>
      <w:r w:rsidRPr="002A102C">
        <w:rPr>
          <w:rFonts w:eastAsia="Calibri"/>
          <w:szCs w:val="22"/>
        </w:rPr>
        <w:t>PhIND</w:t>
      </w:r>
      <w:proofErr w:type="spellEnd"/>
      <w:r w:rsidRPr="002A102C">
        <w:rPr>
          <w:rFonts w:eastAsia="Calibri"/>
          <w:szCs w:val="22"/>
        </w:rPr>
        <w:t xml:space="preserve"> “Physiopathology and Imaging of Neurological Disorders” (phind.fr), Phind.fr</w:t>
      </w:r>
      <w:r w:rsidR="002A102C">
        <w:rPr>
          <w:b/>
          <w:bCs/>
          <w:szCs w:val="22"/>
        </w:rPr>
        <w:t xml:space="preserve"> </w:t>
      </w:r>
      <w:r w:rsidR="008B36B6">
        <w:rPr>
          <w:b/>
          <w:bCs/>
          <w:szCs w:val="22"/>
        </w:rPr>
        <w:t>–</w:t>
      </w:r>
      <w:r w:rsidR="002A102C">
        <w:rPr>
          <w:b/>
          <w:bCs/>
          <w:szCs w:val="22"/>
        </w:rPr>
        <w:t xml:space="preserve"> </w:t>
      </w:r>
      <w:r w:rsidR="008B36B6">
        <w:rPr>
          <w:rFonts w:eastAsia="Calibri"/>
          <w:szCs w:val="22"/>
        </w:rPr>
        <w:t xml:space="preserve">Director </w:t>
      </w:r>
      <w:r w:rsidRPr="002A102C">
        <w:rPr>
          <w:rFonts w:eastAsia="Calibri"/>
          <w:szCs w:val="22"/>
        </w:rPr>
        <w:t>of the Center for Biological Resources (CRB-</w:t>
      </w:r>
      <w:proofErr w:type="spellStart"/>
      <w:r w:rsidRPr="002A102C">
        <w:rPr>
          <w:rFonts w:eastAsia="Calibri"/>
          <w:szCs w:val="22"/>
        </w:rPr>
        <w:t>InnovaBIO</w:t>
      </w:r>
      <w:proofErr w:type="spellEnd"/>
      <w:r w:rsidRPr="002A102C">
        <w:rPr>
          <w:rFonts w:eastAsia="Calibri"/>
          <w:szCs w:val="22"/>
        </w:rPr>
        <w:t>),Caen University Hospital and Scientific advisor Guichet Innovations and Partnerships, Caen University Hospital. Coordinator HCERES Axis “Heart and Brain”.</w:t>
      </w:r>
      <w:r w:rsidR="002A102C">
        <w:rPr>
          <w:b/>
          <w:bCs/>
          <w:szCs w:val="22"/>
        </w:rPr>
        <w:t xml:space="preserve">- </w:t>
      </w:r>
      <w:r w:rsidRPr="002A102C">
        <w:rPr>
          <w:rFonts w:eastAsia="Calibri"/>
          <w:szCs w:val="22"/>
        </w:rPr>
        <w:t>Scientific Director of the Platform for Experimental Stroke Research (ESRP)</w:t>
      </w:r>
      <w:r w:rsidR="008B36B6">
        <w:rPr>
          <w:b/>
          <w:bCs/>
          <w:szCs w:val="22"/>
        </w:rPr>
        <w:t xml:space="preserve"> - </w:t>
      </w:r>
      <w:r w:rsidRPr="002A102C">
        <w:rPr>
          <w:rFonts w:eastAsia="Calibri"/>
          <w:b/>
          <w:bCs/>
          <w:szCs w:val="22"/>
        </w:rPr>
        <w:t>2023-</w:t>
      </w:r>
      <w:r w:rsidR="002A102C">
        <w:rPr>
          <w:rFonts w:eastAsia="Calibri"/>
          <w:b/>
          <w:bCs/>
          <w:szCs w:val="22"/>
        </w:rPr>
        <w:t>x</w:t>
      </w:r>
      <w:r w:rsidRPr="002A102C">
        <w:rPr>
          <w:rFonts w:eastAsia="Calibri"/>
          <w:szCs w:val="22"/>
        </w:rPr>
        <w:t xml:space="preserve"> </w:t>
      </w:r>
      <w:proofErr w:type="spellStart"/>
      <w:r w:rsidRPr="002A102C">
        <w:rPr>
          <w:rFonts w:eastAsia="Calibri"/>
          <w:szCs w:val="22"/>
        </w:rPr>
        <w:t>Adjunt</w:t>
      </w:r>
      <w:proofErr w:type="spellEnd"/>
      <w:r w:rsidRPr="002A102C">
        <w:rPr>
          <w:rFonts w:eastAsia="Calibri"/>
          <w:szCs w:val="22"/>
        </w:rPr>
        <w:t xml:space="preserve"> Senior Investigator, </w:t>
      </w:r>
      <w:proofErr w:type="spellStart"/>
      <w:r w:rsidRPr="002A102C">
        <w:rPr>
          <w:rFonts w:eastAsia="Calibri"/>
          <w:szCs w:val="22"/>
        </w:rPr>
        <w:t>Versiti</w:t>
      </w:r>
      <w:proofErr w:type="spellEnd"/>
      <w:r w:rsidRPr="002A102C">
        <w:rPr>
          <w:rFonts w:eastAsia="Calibri"/>
          <w:szCs w:val="22"/>
        </w:rPr>
        <w:t xml:space="preserve"> Blood Research Institute, Milwaukee, US.</w:t>
      </w:r>
      <w:r w:rsidR="008B36B6">
        <w:rPr>
          <w:b/>
          <w:bCs/>
          <w:szCs w:val="22"/>
        </w:rPr>
        <w:t xml:space="preserve"> - </w:t>
      </w:r>
      <w:r w:rsidRPr="002A102C">
        <w:rPr>
          <w:b/>
          <w:bCs/>
          <w:i/>
          <w:iCs/>
          <w:szCs w:val="22"/>
        </w:rPr>
        <w:t>2014-2017</w:t>
      </w:r>
      <w:r w:rsidRPr="002A102C">
        <w:rPr>
          <w:b/>
          <w:bCs/>
          <w:szCs w:val="22"/>
        </w:rPr>
        <w:t xml:space="preserve"> </w:t>
      </w:r>
      <w:r w:rsidRPr="002A102C">
        <w:rPr>
          <w:rFonts w:eastAsia="Calibri"/>
          <w:szCs w:val="22"/>
        </w:rPr>
        <w:t>Coordinator of the team “Immunotherapy for Neurological Diseases” funded “</w:t>
      </w:r>
      <w:proofErr w:type="spellStart"/>
      <w:r w:rsidRPr="002A102C">
        <w:rPr>
          <w:rFonts w:eastAsia="Calibri"/>
          <w:szCs w:val="22"/>
        </w:rPr>
        <w:t>Fondati</w:t>
      </w:r>
      <w:proofErr w:type="spellEnd"/>
      <w:r w:rsidRPr="002A102C">
        <w:rPr>
          <w:rFonts w:eastAsia="Calibri"/>
          <w:szCs w:val="22"/>
        </w:rPr>
        <w:t>o</w:t>
      </w:r>
      <w:proofErr w:type="spellStart"/>
      <w:r w:rsidRPr="002A102C">
        <w:rPr>
          <w:rFonts w:eastAsia="Calibri"/>
          <w:szCs w:val="22"/>
        </w:rPr>
        <w:t xml:space="preserve">n </w:t>
      </w:r>
      <w:proofErr w:type="spellEnd"/>
      <w:r w:rsidRPr="002A102C">
        <w:rPr>
          <w:rFonts w:eastAsia="Calibri"/>
          <w:szCs w:val="22"/>
        </w:rPr>
        <w:t xml:space="preserve">pour la Recherche </w:t>
      </w:r>
      <w:proofErr w:type="spellStart"/>
      <w:r w:rsidRPr="002A102C">
        <w:rPr>
          <w:rFonts w:eastAsia="Calibri"/>
          <w:szCs w:val="22"/>
        </w:rPr>
        <w:t>Medicale</w:t>
      </w:r>
      <w:proofErr w:type="spellEnd"/>
      <w:r w:rsidRPr="002A102C">
        <w:rPr>
          <w:rFonts w:eastAsia="Calibri"/>
          <w:szCs w:val="22"/>
        </w:rPr>
        <w:t>”</w:t>
      </w:r>
      <w:r w:rsidR="007C1C1B">
        <w:rPr>
          <w:b/>
          <w:bCs/>
          <w:szCs w:val="22"/>
        </w:rPr>
        <w:t xml:space="preserve">; 2005-08 </w:t>
      </w:r>
      <w:r w:rsidRPr="002A102C">
        <w:rPr>
          <w:szCs w:val="22"/>
        </w:rPr>
        <w:t>Director, INSERM UMR_S U919 “serine proteases and pathophysiology of the neurovascular unit”</w:t>
      </w:r>
      <w:r w:rsidRPr="002A102C">
        <w:rPr>
          <w:rFonts w:eastAsia="Calibri"/>
          <w:szCs w:val="22"/>
        </w:rPr>
        <w:t xml:space="preserve"> </w:t>
      </w:r>
      <w:r w:rsidR="007C1C1B">
        <w:rPr>
          <w:b/>
          <w:bCs/>
          <w:szCs w:val="22"/>
        </w:rPr>
        <w:t xml:space="preserve">; 2004-05 </w:t>
      </w:r>
      <w:r w:rsidRPr="002A102C">
        <w:rPr>
          <w:szCs w:val="22"/>
        </w:rPr>
        <w:t>Director INSERM-Avenir "tPA in the working brain" award</w:t>
      </w:r>
      <w:r w:rsidR="007C1C1B">
        <w:rPr>
          <w:b/>
          <w:bCs/>
          <w:szCs w:val="22"/>
        </w:rPr>
        <w:t xml:space="preserve">; 20001-04 </w:t>
      </w:r>
      <w:r w:rsidRPr="002A102C">
        <w:rPr>
          <w:szCs w:val="22"/>
        </w:rPr>
        <w:t>Vice-Director of UMR CNRS 6185</w:t>
      </w:r>
      <w:r w:rsidR="007C1C1B">
        <w:rPr>
          <w:b/>
          <w:bCs/>
          <w:szCs w:val="22"/>
        </w:rPr>
        <w:t xml:space="preserve">; 1995-2001 </w:t>
      </w:r>
      <w:r w:rsidRPr="002A102C">
        <w:rPr>
          <w:szCs w:val="22"/>
        </w:rPr>
        <w:t>Full Professor in Neurosciences, Université de Caen Normandy</w:t>
      </w:r>
      <w:r w:rsidR="007C1C1B">
        <w:rPr>
          <w:b/>
          <w:bCs/>
          <w:szCs w:val="22"/>
        </w:rPr>
        <w:t xml:space="preserve">, </w:t>
      </w:r>
      <w:r w:rsidRPr="002A102C">
        <w:rPr>
          <w:szCs w:val="22"/>
        </w:rPr>
        <w:t>Assistant professor in molecular biology, Université de Caen Normandy</w:t>
      </w:r>
      <w:r w:rsidR="007C1C1B">
        <w:rPr>
          <w:b/>
          <w:bCs/>
          <w:szCs w:val="22"/>
        </w:rPr>
        <w:t>, 1993-1995</w:t>
      </w:r>
      <w:r w:rsidR="007C1C1B">
        <w:rPr>
          <w:szCs w:val="22"/>
        </w:rPr>
        <w:t xml:space="preserve"> </w:t>
      </w:r>
      <w:r w:rsidRPr="002A102C">
        <w:rPr>
          <w:szCs w:val="22"/>
        </w:rPr>
        <w:t>Research Associate, Sloan Kettering Cancer Center, Howard Hughes Institute, New York.</w:t>
      </w:r>
    </w:p>
    <w:p w14:paraId="258EC7B8" w14:textId="77777777" w:rsidR="00D27509" w:rsidRPr="002A102C" w:rsidRDefault="00D27509" w:rsidP="00D27509">
      <w:pPr>
        <w:pStyle w:val="DataField11pt-Single"/>
        <w:jc w:val="both"/>
        <w:rPr>
          <w:rFonts w:eastAsia="Calibri"/>
          <w:szCs w:val="22"/>
        </w:rPr>
      </w:pPr>
      <w:r w:rsidRPr="002A102C">
        <w:rPr>
          <w:rFonts w:eastAsia="Calibri"/>
          <w:b/>
          <w:szCs w:val="22"/>
        </w:rPr>
        <w:t>Honor</w:t>
      </w:r>
      <w:r w:rsidRPr="002A102C">
        <w:rPr>
          <w:rFonts w:eastAsia="Calibri"/>
          <w:b/>
          <w:szCs w:val="22"/>
        </w:rPr>
        <w:t>s</w:t>
      </w:r>
      <w:r w:rsidRPr="002A102C">
        <w:rPr>
          <w:rFonts w:eastAsia="Calibri"/>
          <w:b/>
          <w:szCs w:val="22"/>
        </w:rPr>
        <w:t xml:space="preserve">: </w:t>
      </w:r>
      <w:r w:rsidRPr="002A102C">
        <w:rPr>
          <w:rFonts w:eastAsia="Calibri"/>
          <w:b/>
          <w:bCs/>
          <w:szCs w:val="22"/>
        </w:rPr>
        <w:t>2023</w:t>
      </w:r>
      <w:r w:rsidRPr="002A102C">
        <w:rPr>
          <w:rFonts w:eastAsia="Calibri"/>
          <w:szCs w:val="22"/>
        </w:rPr>
        <w:tab/>
        <w:t xml:space="preserve">Prix Danielle Hermann, 2023, </w:t>
      </w:r>
      <w:proofErr w:type="spellStart"/>
      <w:r w:rsidRPr="002A102C">
        <w:rPr>
          <w:rFonts w:eastAsia="Calibri"/>
          <w:szCs w:val="22"/>
        </w:rPr>
        <w:t>Institut</w:t>
      </w:r>
      <w:proofErr w:type="spellEnd"/>
      <w:r w:rsidRPr="002A102C">
        <w:rPr>
          <w:rFonts w:eastAsia="Calibri"/>
          <w:szCs w:val="22"/>
        </w:rPr>
        <w:t xml:space="preserve"> de France, </w:t>
      </w:r>
      <w:proofErr w:type="spellStart"/>
      <w:r w:rsidRPr="002A102C">
        <w:rPr>
          <w:rFonts w:eastAsia="Calibri"/>
          <w:szCs w:val="22"/>
        </w:rPr>
        <w:t>Fondation</w:t>
      </w:r>
      <w:proofErr w:type="spellEnd"/>
      <w:r w:rsidRPr="002A102C">
        <w:rPr>
          <w:rFonts w:eastAsia="Calibri"/>
          <w:szCs w:val="22"/>
        </w:rPr>
        <w:t xml:space="preserve"> Recherche Cardio-</w:t>
      </w:r>
      <w:proofErr w:type="spellStart"/>
      <w:r w:rsidRPr="002A102C">
        <w:rPr>
          <w:rFonts w:eastAsia="Calibri"/>
          <w:szCs w:val="22"/>
        </w:rPr>
        <w:t>vasculaire</w:t>
      </w:r>
      <w:proofErr w:type="spellEnd"/>
      <w:r w:rsidRPr="002A102C">
        <w:rPr>
          <w:rFonts w:eastAsia="Calibri"/>
          <w:szCs w:val="22"/>
        </w:rPr>
        <w:t> </w:t>
      </w:r>
      <w:r w:rsidRPr="002A102C">
        <w:rPr>
          <w:rFonts w:eastAsia="Calibri"/>
          <w:b/>
          <w:szCs w:val="22"/>
        </w:rPr>
        <w:t xml:space="preserve">; </w:t>
      </w:r>
      <w:r w:rsidRPr="002A102C">
        <w:rPr>
          <w:rFonts w:eastAsia="Calibri"/>
          <w:b/>
          <w:bCs/>
          <w:szCs w:val="22"/>
        </w:rPr>
        <w:t>2021</w:t>
      </w:r>
      <w:r w:rsidRPr="002A102C">
        <w:rPr>
          <w:rFonts w:eastAsia="Calibri"/>
          <w:szCs w:val="22"/>
        </w:rPr>
        <w:tab/>
      </w:r>
    </w:p>
    <w:p w14:paraId="69FCDAAA" w14:textId="026BA8CD" w:rsidR="00D27509" w:rsidRPr="002A102C" w:rsidRDefault="00D27509" w:rsidP="00D27509">
      <w:pPr>
        <w:pStyle w:val="DataField11pt-Single"/>
        <w:jc w:val="both"/>
        <w:rPr>
          <w:rFonts w:eastAsia="Calibri"/>
          <w:b/>
          <w:szCs w:val="22"/>
        </w:rPr>
      </w:pPr>
      <w:r w:rsidRPr="002A102C">
        <w:rPr>
          <w:color w:val="000000"/>
          <w:szCs w:val="22"/>
        </w:rPr>
        <w:t>Grand Prix I-LAB 2021, for the development of the therapeutic antibody "</w:t>
      </w:r>
      <w:proofErr w:type="spellStart"/>
      <w:r w:rsidRPr="002A102C">
        <w:rPr>
          <w:color w:val="000000"/>
          <w:szCs w:val="22"/>
        </w:rPr>
        <w:t>Gluno</w:t>
      </w:r>
      <w:proofErr w:type="spellEnd"/>
      <w:r w:rsidRPr="002A102C">
        <w:rPr>
          <w:color w:val="000000"/>
          <w:szCs w:val="22"/>
        </w:rPr>
        <w:t>(</w:t>
      </w:r>
      <w:proofErr w:type="spellStart"/>
      <w:r w:rsidRPr="002A102C">
        <w:rPr>
          <w:color w:val="000000"/>
          <w:szCs w:val="22"/>
        </w:rPr>
        <w:t>zu</w:t>
      </w:r>
      <w:proofErr w:type="spellEnd"/>
      <w:r w:rsidRPr="002A102C">
        <w:rPr>
          <w:color w:val="000000"/>
          <w:szCs w:val="22"/>
        </w:rPr>
        <w:t>)</w:t>
      </w:r>
      <w:proofErr w:type="spellStart"/>
      <w:r w:rsidRPr="002A102C">
        <w:rPr>
          <w:color w:val="000000"/>
          <w:szCs w:val="22"/>
        </w:rPr>
        <w:t>mab</w:t>
      </w:r>
      <w:proofErr w:type="spellEnd"/>
      <w:r w:rsidRPr="002A102C">
        <w:rPr>
          <w:color w:val="000000"/>
          <w:szCs w:val="22"/>
        </w:rPr>
        <w:t xml:space="preserve">", licensed to the startup Lys Therapeutics, for the treatment of stroke. - </w:t>
      </w:r>
      <w:r w:rsidRPr="002A102C">
        <w:rPr>
          <w:b/>
          <w:szCs w:val="22"/>
        </w:rPr>
        <w:t>2016</w:t>
      </w:r>
      <w:r w:rsidRPr="002A102C">
        <w:rPr>
          <w:bCs/>
          <w:szCs w:val="22"/>
        </w:rPr>
        <w:tab/>
        <w:t>Rose LAMARCA Award for advance in translational research</w:t>
      </w:r>
      <w:r w:rsidRPr="002A102C">
        <w:rPr>
          <w:rFonts w:eastAsia="Calibri"/>
          <w:b/>
          <w:szCs w:val="22"/>
        </w:rPr>
        <w:t xml:space="preserve">; </w:t>
      </w:r>
      <w:r w:rsidRPr="002A102C">
        <w:rPr>
          <w:b/>
          <w:szCs w:val="22"/>
        </w:rPr>
        <w:t>2014-2017</w:t>
      </w:r>
      <w:r w:rsidRPr="002A102C">
        <w:rPr>
          <w:bCs/>
          <w:szCs w:val="22"/>
        </w:rPr>
        <w:tab/>
        <w:t>FRM group” by the French Medical Research Foundation</w:t>
      </w:r>
      <w:r w:rsidRPr="002A102C">
        <w:rPr>
          <w:rFonts w:eastAsia="Calibri"/>
          <w:b/>
          <w:szCs w:val="22"/>
        </w:rPr>
        <w:t xml:space="preserve">; </w:t>
      </w:r>
      <w:r w:rsidRPr="002A102C">
        <w:rPr>
          <w:b/>
          <w:szCs w:val="22"/>
        </w:rPr>
        <w:t>2012</w:t>
      </w:r>
      <w:r w:rsidRPr="002A102C">
        <w:rPr>
          <w:bCs/>
          <w:szCs w:val="22"/>
        </w:rPr>
        <w:tab/>
        <w:t>Schlumberger</w:t>
      </w:r>
      <w:r w:rsidRPr="002A102C">
        <w:rPr>
          <w:bCs/>
          <w:szCs w:val="22"/>
        </w:rPr>
        <w:t xml:space="preserve"> </w:t>
      </w:r>
      <w:r w:rsidRPr="002A102C">
        <w:rPr>
          <w:bCs/>
          <w:szCs w:val="22"/>
        </w:rPr>
        <w:t>Foundation prize for an innovative teaching aid called «</w:t>
      </w:r>
      <w:proofErr w:type="spellStart"/>
      <w:r w:rsidRPr="002A102C">
        <w:rPr>
          <w:bCs/>
          <w:szCs w:val="22"/>
        </w:rPr>
        <w:t>Cérébro</w:t>
      </w:r>
      <w:proofErr w:type="spellEnd"/>
      <w:r w:rsidRPr="002A102C">
        <w:rPr>
          <w:bCs/>
          <w:szCs w:val="22"/>
        </w:rPr>
        <w:t>»</w:t>
      </w:r>
      <w:r w:rsidRPr="002A102C">
        <w:rPr>
          <w:rFonts w:eastAsia="Calibri"/>
          <w:b/>
          <w:szCs w:val="22"/>
        </w:rPr>
        <w:t xml:space="preserve">; </w:t>
      </w:r>
      <w:r w:rsidRPr="002A102C">
        <w:rPr>
          <w:rFonts w:eastAsia="Calibri"/>
          <w:b/>
          <w:bCs/>
          <w:szCs w:val="22"/>
        </w:rPr>
        <w:t>2011</w:t>
      </w:r>
      <w:r w:rsidRPr="002A102C">
        <w:rPr>
          <w:rFonts w:eastAsia="Calibri"/>
          <w:szCs w:val="22"/>
        </w:rPr>
        <w:tab/>
        <w:t>Award: “medical innovation” (</w:t>
      </w:r>
      <w:proofErr w:type="spellStart"/>
      <w:r w:rsidRPr="002A102C">
        <w:rPr>
          <w:rFonts w:eastAsia="Calibri"/>
          <w:szCs w:val="22"/>
        </w:rPr>
        <w:t>Fondation</w:t>
      </w:r>
      <w:proofErr w:type="spellEnd"/>
      <w:r w:rsidRPr="002A102C">
        <w:rPr>
          <w:rFonts w:eastAsia="Calibri"/>
          <w:szCs w:val="22"/>
        </w:rPr>
        <w:t xml:space="preserve"> de France-</w:t>
      </w:r>
      <w:proofErr w:type="spellStart"/>
      <w:r w:rsidRPr="002A102C">
        <w:rPr>
          <w:rFonts w:eastAsia="Calibri"/>
          <w:szCs w:val="22"/>
        </w:rPr>
        <w:t>Matmut</w:t>
      </w:r>
      <w:proofErr w:type="spellEnd"/>
      <w:r w:rsidRPr="002A102C">
        <w:rPr>
          <w:rFonts w:eastAsia="Calibri"/>
          <w:szCs w:val="22"/>
        </w:rPr>
        <w:t>)</w:t>
      </w:r>
      <w:r w:rsidRPr="002A102C">
        <w:rPr>
          <w:rFonts w:eastAsia="Calibri"/>
          <w:b/>
          <w:szCs w:val="22"/>
        </w:rPr>
        <w:t xml:space="preserve">; </w:t>
      </w:r>
      <w:r w:rsidRPr="002A102C">
        <w:rPr>
          <w:rFonts w:eastAsia="Calibri"/>
          <w:b/>
          <w:bCs/>
          <w:szCs w:val="22"/>
        </w:rPr>
        <w:t>2009</w:t>
      </w:r>
      <w:r w:rsidRPr="002A102C">
        <w:rPr>
          <w:rFonts w:eastAsia="Calibri"/>
          <w:szCs w:val="22"/>
        </w:rPr>
        <w:t xml:space="preserve"> </w:t>
      </w:r>
      <w:r w:rsidRPr="002A102C">
        <w:rPr>
          <w:rFonts w:eastAsia="Calibri"/>
          <w:szCs w:val="22"/>
        </w:rPr>
        <w:t xml:space="preserve">Senior member of the </w:t>
      </w:r>
      <w:proofErr w:type="spellStart"/>
      <w:r w:rsidRPr="002A102C">
        <w:rPr>
          <w:rFonts w:eastAsia="Calibri"/>
          <w:szCs w:val="22"/>
        </w:rPr>
        <w:t>Institut</w:t>
      </w:r>
      <w:proofErr w:type="spellEnd"/>
      <w:r w:rsidRPr="002A102C">
        <w:rPr>
          <w:rFonts w:eastAsia="Calibri"/>
          <w:szCs w:val="22"/>
        </w:rPr>
        <w:t xml:space="preserve"> </w:t>
      </w:r>
      <w:proofErr w:type="spellStart"/>
      <w:r w:rsidRPr="002A102C">
        <w:rPr>
          <w:rFonts w:eastAsia="Calibri"/>
          <w:szCs w:val="22"/>
        </w:rPr>
        <w:t>Universitaire</w:t>
      </w:r>
      <w:proofErr w:type="spellEnd"/>
      <w:r w:rsidRPr="002A102C">
        <w:rPr>
          <w:rFonts w:eastAsia="Calibri"/>
          <w:szCs w:val="22"/>
        </w:rPr>
        <w:t xml:space="preserve"> de France</w:t>
      </w:r>
      <w:r w:rsidRPr="002A102C">
        <w:rPr>
          <w:rFonts w:eastAsia="Calibri"/>
          <w:szCs w:val="22"/>
        </w:rPr>
        <w:t>.</w:t>
      </w:r>
    </w:p>
    <w:p w14:paraId="2CD44EE6" w14:textId="615242EC" w:rsidR="00D96283" w:rsidRPr="002A102C" w:rsidRDefault="006E18ED" w:rsidP="008B36B6">
      <w:pPr>
        <w:pStyle w:val="DataField11pt-Single"/>
        <w:rPr>
          <w:szCs w:val="22"/>
          <w:lang w:val="en-CA"/>
        </w:rPr>
      </w:pPr>
      <w:r w:rsidRPr="002A102C">
        <w:rPr>
          <w:b/>
          <w:bCs/>
          <w:szCs w:val="22"/>
        </w:rPr>
        <w:t>Invited talks</w:t>
      </w:r>
      <w:r w:rsidR="00D151D9" w:rsidRPr="002A102C">
        <w:rPr>
          <w:b/>
          <w:bCs/>
          <w:szCs w:val="22"/>
        </w:rPr>
        <w:t xml:space="preserve"> </w:t>
      </w:r>
      <w:r w:rsidR="00D151D9" w:rsidRPr="002A102C">
        <w:rPr>
          <w:szCs w:val="22"/>
        </w:rPr>
        <w:t>(past 5 years)</w:t>
      </w:r>
      <w:r w:rsidR="00D151D9" w:rsidRPr="002A102C">
        <w:rPr>
          <w:b/>
          <w:bCs/>
          <w:szCs w:val="22"/>
        </w:rPr>
        <w:t xml:space="preserve">: </w:t>
      </w:r>
      <w:r w:rsidR="008B3285" w:rsidRPr="002A102C">
        <w:rPr>
          <w:szCs w:val="22"/>
        </w:rPr>
        <w:t>41</w:t>
      </w:r>
      <w:r w:rsidR="00D151D9" w:rsidRPr="002A102C">
        <w:rPr>
          <w:szCs w:val="22"/>
        </w:rPr>
        <w:t xml:space="preserve"> seminars </w:t>
      </w:r>
      <w:r w:rsidR="008B3285" w:rsidRPr="002A102C">
        <w:rPr>
          <w:szCs w:val="22"/>
        </w:rPr>
        <w:t xml:space="preserve">and invited speaker </w:t>
      </w:r>
      <w:r w:rsidR="00D151D9" w:rsidRPr="002A102C">
        <w:rPr>
          <w:szCs w:val="22"/>
        </w:rPr>
        <w:t>(</w:t>
      </w:r>
      <w:r w:rsidR="008B3285" w:rsidRPr="002A102C">
        <w:rPr>
          <w:szCs w:val="22"/>
        </w:rPr>
        <w:t>35</w:t>
      </w:r>
      <w:r w:rsidR="00D151D9" w:rsidRPr="002A102C">
        <w:rPr>
          <w:szCs w:val="22"/>
        </w:rPr>
        <w:t xml:space="preserve"> international)</w:t>
      </w:r>
      <w:r w:rsidR="008B3285" w:rsidRPr="002A102C">
        <w:rPr>
          <w:szCs w:val="22"/>
        </w:rPr>
        <w:t xml:space="preserve"> including several Gordon conf.</w:t>
      </w:r>
    </w:p>
    <w:p w14:paraId="67E39CE7" w14:textId="77777777" w:rsidR="00E86974" w:rsidRPr="002A102C" w:rsidRDefault="00E86974" w:rsidP="008B36B6">
      <w:pPr>
        <w:pStyle w:val="DataField11pt-Single"/>
        <w:rPr>
          <w:b/>
          <w:bCs/>
          <w:szCs w:val="22"/>
        </w:rPr>
      </w:pPr>
    </w:p>
    <w:p w14:paraId="0901A37C" w14:textId="5287A3F8" w:rsidR="00087E80" w:rsidRPr="007C1C1B" w:rsidRDefault="0012130F" w:rsidP="008B36B6">
      <w:pPr>
        <w:pStyle w:val="DataField11pt-Single"/>
        <w:numPr>
          <w:ilvl w:val="0"/>
          <w:numId w:val="23"/>
        </w:numPr>
        <w:ind w:left="284" w:hanging="284"/>
        <w:rPr>
          <w:b/>
          <w:bCs/>
          <w:szCs w:val="22"/>
        </w:rPr>
      </w:pPr>
      <w:r w:rsidRPr="007C1C1B">
        <w:rPr>
          <w:b/>
          <w:bCs/>
          <w:szCs w:val="22"/>
        </w:rPr>
        <w:t>Most Important</w:t>
      </w:r>
      <w:r w:rsidR="00087E80" w:rsidRPr="007C1C1B">
        <w:rPr>
          <w:b/>
          <w:bCs/>
          <w:szCs w:val="22"/>
        </w:rPr>
        <w:t xml:space="preserve"> </w:t>
      </w:r>
      <w:r w:rsidR="008B3285" w:rsidRPr="007C1C1B">
        <w:rPr>
          <w:b/>
          <w:bCs/>
          <w:szCs w:val="22"/>
        </w:rPr>
        <w:t xml:space="preserve">Recent </w:t>
      </w:r>
      <w:r w:rsidR="00087E80" w:rsidRPr="007C1C1B">
        <w:rPr>
          <w:b/>
          <w:bCs/>
          <w:szCs w:val="22"/>
        </w:rPr>
        <w:t>Publications</w:t>
      </w:r>
      <w:r w:rsidR="007C1C1B" w:rsidRPr="007C1C1B">
        <w:rPr>
          <w:b/>
          <w:bCs/>
          <w:szCs w:val="22"/>
        </w:rPr>
        <w:t xml:space="preserve"> </w:t>
      </w:r>
      <w:r w:rsidR="007C1C1B">
        <w:rPr>
          <w:b/>
          <w:bCs/>
          <w:szCs w:val="22"/>
        </w:rPr>
        <w:t xml:space="preserve">- </w:t>
      </w:r>
      <w:r w:rsidR="007C1C1B" w:rsidRPr="002A102C">
        <w:rPr>
          <w:b/>
          <w:bCs/>
          <w:szCs w:val="22"/>
        </w:rPr>
        <w:t>Publications: Scopus H-index: 59</w:t>
      </w:r>
    </w:p>
    <w:p w14:paraId="71447D06" w14:textId="5BEF6B0A" w:rsidR="008B3285" w:rsidRPr="001207EA" w:rsidRDefault="008B3285" w:rsidP="008B36B6">
      <w:pPr>
        <w:pStyle w:val="Paragraphedeliste"/>
        <w:numPr>
          <w:ilvl w:val="0"/>
          <w:numId w:val="33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1207EA">
        <w:rPr>
          <w:rFonts w:ascii="Arial" w:hAnsi="Arial" w:cs="Arial"/>
          <w:sz w:val="22"/>
          <w:szCs w:val="22"/>
        </w:rPr>
        <w:t>Douceau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1207EA">
        <w:rPr>
          <w:rFonts w:ascii="Arial" w:hAnsi="Arial" w:cs="Arial"/>
          <w:sz w:val="22"/>
          <w:szCs w:val="22"/>
        </w:rPr>
        <w:t>Lemarchand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1207EA">
        <w:rPr>
          <w:rFonts w:ascii="Arial" w:hAnsi="Arial" w:cs="Arial"/>
          <w:sz w:val="22"/>
          <w:szCs w:val="22"/>
        </w:rPr>
        <w:t>Hommet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Y, </w:t>
      </w:r>
      <w:proofErr w:type="spellStart"/>
      <w:r w:rsidRPr="001207EA">
        <w:rPr>
          <w:rFonts w:ascii="Arial" w:hAnsi="Arial" w:cs="Arial"/>
          <w:sz w:val="22"/>
          <w:szCs w:val="22"/>
        </w:rPr>
        <w:t>Lebouvier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L, </w:t>
      </w:r>
      <w:proofErr w:type="spellStart"/>
      <w:r w:rsidRPr="001207EA">
        <w:rPr>
          <w:rFonts w:ascii="Arial" w:hAnsi="Arial" w:cs="Arial"/>
          <w:sz w:val="22"/>
          <w:szCs w:val="22"/>
        </w:rPr>
        <w:t>Joséphine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C, Bemelmans AP, </w:t>
      </w:r>
      <w:proofErr w:type="spellStart"/>
      <w:r w:rsidRPr="001207EA">
        <w:rPr>
          <w:rFonts w:ascii="Arial" w:hAnsi="Arial" w:cs="Arial"/>
          <w:sz w:val="22"/>
          <w:szCs w:val="22"/>
        </w:rPr>
        <w:t>Maubert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1207EA">
        <w:rPr>
          <w:rFonts w:ascii="Arial" w:hAnsi="Arial" w:cs="Arial"/>
          <w:sz w:val="22"/>
          <w:szCs w:val="22"/>
        </w:rPr>
        <w:t>Agin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V, </w:t>
      </w:r>
      <w:r w:rsidRPr="001207EA">
        <w:rPr>
          <w:rFonts w:ascii="Arial" w:hAnsi="Arial" w:cs="Arial"/>
          <w:b/>
          <w:bCs/>
          <w:sz w:val="22"/>
          <w:szCs w:val="22"/>
        </w:rPr>
        <w:t xml:space="preserve">Vivien D. </w:t>
      </w:r>
      <w:proofErr w:type="spellStart"/>
      <w:r w:rsidRPr="001207EA">
        <w:rPr>
          <w:rFonts w:ascii="Arial" w:hAnsi="Arial" w:cs="Arial"/>
          <w:sz w:val="22"/>
          <w:szCs w:val="22"/>
        </w:rPr>
        <w:t>PKCδ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-positive GABAergic neurons in the central amygdala exhibit tissue-type plasminogen activator: role in the control of anxiety. </w:t>
      </w:r>
      <w:r w:rsidRPr="001207EA">
        <w:rPr>
          <w:rFonts w:ascii="Arial" w:hAnsi="Arial" w:cs="Arial"/>
          <w:b/>
          <w:bCs/>
          <w:i/>
          <w:iCs/>
          <w:sz w:val="22"/>
          <w:szCs w:val="22"/>
        </w:rPr>
        <w:t xml:space="preserve">Mol Psychiatry. </w:t>
      </w:r>
      <w:r w:rsidR="001207EA" w:rsidRPr="001207EA">
        <w:rPr>
          <w:rFonts w:ascii="Arial" w:hAnsi="Arial" w:cs="Arial"/>
          <w:b/>
          <w:bCs/>
          <w:i/>
          <w:iCs/>
          <w:sz w:val="22"/>
          <w:szCs w:val="22"/>
        </w:rPr>
        <w:t xml:space="preserve">2022 </w:t>
      </w:r>
      <w:r w:rsidR="001207EA" w:rsidRPr="001207EA">
        <w:rPr>
          <w:rFonts w:ascii="Arial" w:hAnsi="Arial" w:cs="Arial"/>
          <w:i/>
          <w:iCs/>
          <w:sz w:val="22"/>
          <w:szCs w:val="22"/>
        </w:rPr>
        <w:t>Apr;27(4):2197-2205</w:t>
      </w:r>
      <w:r w:rsidRPr="001207EA">
        <w:rPr>
          <w:rFonts w:ascii="Arial" w:hAnsi="Arial" w:cs="Arial"/>
          <w:sz w:val="22"/>
          <w:szCs w:val="22"/>
        </w:rPr>
        <w:t>. PMID: 35145231.</w:t>
      </w:r>
    </w:p>
    <w:p w14:paraId="024ECD43" w14:textId="59DB0CBB" w:rsidR="008B3285" w:rsidRPr="001207EA" w:rsidRDefault="008B3285" w:rsidP="008B36B6">
      <w:pPr>
        <w:pStyle w:val="Paragraphedeliste"/>
        <w:numPr>
          <w:ilvl w:val="0"/>
          <w:numId w:val="3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Jacqmarcq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C., Picot A., Flon J., Lebrun F., Martinez de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Lizarrondo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S.,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Naveau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M., Bernay B., Goux D., Rubio M.,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Malzert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>-</w:t>
      </w:r>
      <w:r w:rsidRPr="001207EA">
        <w:rPr>
          <w:rFonts w:ascii="Arial" w:hAnsi="Arial" w:cs="Arial"/>
          <w:sz w:val="22"/>
          <w:szCs w:val="22"/>
          <w:lang w:val="fr-FR"/>
        </w:rPr>
        <w:t xml:space="preserve">Fréon A., Michel A.,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Proamer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M., Mangin P.,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Gauberti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M., </w:t>
      </w:r>
      <w:r w:rsidRPr="001207EA">
        <w:rPr>
          <w:rFonts w:ascii="Arial" w:hAnsi="Arial" w:cs="Arial"/>
          <w:b/>
          <w:bCs/>
          <w:sz w:val="22"/>
          <w:szCs w:val="22"/>
          <w:lang w:val="fr-FR"/>
        </w:rPr>
        <w:t>Vivien D.*,</w:t>
      </w:r>
      <w:r w:rsidRPr="001207EA">
        <w:rPr>
          <w:rFonts w:ascii="Arial" w:hAnsi="Arial" w:cs="Arial"/>
          <w:sz w:val="22"/>
          <w:szCs w:val="22"/>
          <w:lang w:val="fr-FR"/>
        </w:rPr>
        <w:t xml:space="preserve"> Bonnard T*, *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corresponding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authors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. </w:t>
      </w:r>
      <w:r w:rsidRPr="001207EA">
        <w:rPr>
          <w:rFonts w:ascii="Arial" w:hAnsi="Arial" w:cs="Arial"/>
          <w:sz w:val="22"/>
          <w:szCs w:val="22"/>
        </w:rPr>
        <w:t xml:space="preserve">MRI-Based Microthrombi Detection in Stroke with Polydopamine Iron Oxide. </w:t>
      </w:r>
      <w:r w:rsidRPr="001207EA">
        <w:rPr>
          <w:rFonts w:ascii="Arial" w:hAnsi="Arial" w:cs="Arial"/>
          <w:b/>
          <w:bCs/>
          <w:sz w:val="22"/>
          <w:szCs w:val="22"/>
        </w:rPr>
        <w:t xml:space="preserve">Nature Communications, </w:t>
      </w:r>
      <w:r w:rsidR="001207EA" w:rsidRPr="001207EA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1207EA" w:rsidRPr="001207EA">
        <w:rPr>
          <w:rFonts w:ascii="Arial" w:hAnsi="Arial" w:cs="Arial"/>
          <w:sz w:val="22"/>
          <w:szCs w:val="22"/>
        </w:rPr>
        <w:t>Jun 13;15(1):5070</w:t>
      </w:r>
      <w:r w:rsidR="001207EA" w:rsidRPr="001207EA">
        <w:rPr>
          <w:rFonts w:ascii="Arial" w:hAnsi="Arial" w:cs="Arial"/>
          <w:sz w:val="22"/>
          <w:szCs w:val="22"/>
        </w:rPr>
        <w:t xml:space="preserve">. </w:t>
      </w:r>
      <w:r w:rsidR="001207EA" w:rsidRPr="001207EA">
        <w:rPr>
          <w:rFonts w:ascii="Arial" w:hAnsi="Arial" w:cs="Arial"/>
          <w:sz w:val="22"/>
          <w:szCs w:val="22"/>
        </w:rPr>
        <w:t>PMID: 38871729</w:t>
      </w:r>
    </w:p>
    <w:p w14:paraId="242527FB" w14:textId="135B0E21" w:rsidR="008B3285" w:rsidRPr="001207EA" w:rsidRDefault="008B3285" w:rsidP="008B36B6">
      <w:pPr>
        <w:pStyle w:val="Paragraphedeliste"/>
        <w:numPr>
          <w:ilvl w:val="0"/>
          <w:numId w:val="3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1207EA">
        <w:rPr>
          <w:rFonts w:ascii="Arial" w:hAnsi="Arial" w:cs="Arial"/>
          <w:sz w:val="22"/>
          <w:szCs w:val="22"/>
        </w:rPr>
        <w:t>Levard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D., </w:t>
      </w:r>
      <w:proofErr w:type="spellStart"/>
      <w:r w:rsidRPr="001207EA">
        <w:rPr>
          <w:rFonts w:ascii="Arial" w:hAnsi="Arial" w:cs="Arial"/>
          <w:sz w:val="22"/>
          <w:szCs w:val="22"/>
        </w:rPr>
        <w:t>Seillier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C., </w:t>
      </w:r>
      <w:proofErr w:type="spellStart"/>
      <w:r w:rsidRPr="001207EA">
        <w:rPr>
          <w:rFonts w:ascii="Arial" w:hAnsi="Arial" w:cs="Arial"/>
          <w:sz w:val="22"/>
          <w:szCs w:val="22"/>
        </w:rPr>
        <w:t>Bellemain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7EA">
        <w:rPr>
          <w:rFonts w:ascii="Arial" w:hAnsi="Arial" w:cs="Arial"/>
          <w:sz w:val="22"/>
          <w:szCs w:val="22"/>
        </w:rPr>
        <w:t>Sagnard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M., </w:t>
      </w:r>
      <w:proofErr w:type="spellStart"/>
      <w:r w:rsidRPr="001207EA">
        <w:rPr>
          <w:rFonts w:ascii="Arial" w:hAnsi="Arial" w:cs="Arial"/>
          <w:sz w:val="22"/>
          <w:szCs w:val="22"/>
        </w:rPr>
        <w:t>Riou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G., McDade G., Smith C., McQuaid C., Montagne A., Amann L., Prinz M., </w:t>
      </w:r>
      <w:r w:rsidRPr="001207EA">
        <w:rPr>
          <w:rFonts w:ascii="Arial" w:hAnsi="Arial" w:cs="Arial"/>
          <w:b/>
          <w:bCs/>
          <w:sz w:val="22"/>
          <w:szCs w:val="22"/>
        </w:rPr>
        <w:t>Vivien D.*,</w:t>
      </w:r>
      <w:r w:rsidRPr="001207EA">
        <w:rPr>
          <w:rFonts w:ascii="Arial" w:hAnsi="Arial" w:cs="Arial"/>
          <w:sz w:val="22"/>
          <w:szCs w:val="22"/>
        </w:rPr>
        <w:t xml:space="preserve"> Rubio M.*, * Corresponding authors. CNS-associated macrophages tune immune response after stroke, a phenotype acquired with age. </w:t>
      </w:r>
      <w:r w:rsidRPr="001207EA">
        <w:rPr>
          <w:rFonts w:ascii="Arial" w:hAnsi="Arial" w:cs="Arial"/>
          <w:b/>
          <w:bCs/>
          <w:sz w:val="22"/>
          <w:szCs w:val="22"/>
        </w:rPr>
        <w:t xml:space="preserve">Nature Neuroscience, </w:t>
      </w:r>
      <w:r w:rsidR="001207EA" w:rsidRPr="001207EA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1207EA" w:rsidRPr="001207EA">
        <w:rPr>
          <w:rFonts w:ascii="Arial" w:hAnsi="Arial" w:cs="Arial"/>
          <w:sz w:val="22"/>
          <w:szCs w:val="22"/>
        </w:rPr>
        <w:t xml:space="preserve">Jul 3. </w:t>
      </w:r>
      <w:proofErr w:type="spellStart"/>
      <w:r w:rsidR="001207EA" w:rsidRPr="001207EA">
        <w:rPr>
          <w:rFonts w:ascii="Arial" w:hAnsi="Arial" w:cs="Arial"/>
          <w:sz w:val="22"/>
          <w:szCs w:val="22"/>
        </w:rPr>
        <w:t>doi</w:t>
      </w:r>
      <w:proofErr w:type="spellEnd"/>
      <w:r w:rsidR="001207EA" w:rsidRPr="001207EA">
        <w:rPr>
          <w:rFonts w:ascii="Arial" w:hAnsi="Arial" w:cs="Arial"/>
          <w:sz w:val="22"/>
          <w:szCs w:val="22"/>
        </w:rPr>
        <w:t>: 10.1038/s41593-024-01695-3</w:t>
      </w:r>
      <w:r w:rsidR="001207EA" w:rsidRPr="001207EA">
        <w:rPr>
          <w:rFonts w:ascii="Arial" w:hAnsi="Arial" w:cs="Arial"/>
          <w:sz w:val="22"/>
          <w:szCs w:val="22"/>
        </w:rPr>
        <w:t xml:space="preserve">. </w:t>
      </w:r>
      <w:r w:rsidR="001207EA" w:rsidRPr="001207EA">
        <w:rPr>
          <w:rFonts w:ascii="Arial" w:hAnsi="Arial" w:cs="Arial"/>
          <w:sz w:val="22"/>
          <w:szCs w:val="22"/>
        </w:rPr>
        <w:t>PMID: 38961228</w:t>
      </w:r>
    </w:p>
    <w:p w14:paraId="43B3C63C" w14:textId="63556C33" w:rsidR="008B3285" w:rsidRPr="001207EA" w:rsidRDefault="008B3285" w:rsidP="008B36B6">
      <w:pPr>
        <w:pStyle w:val="Paragraphedeliste"/>
        <w:numPr>
          <w:ilvl w:val="0"/>
          <w:numId w:val="3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1207EA">
        <w:rPr>
          <w:rFonts w:ascii="Arial" w:hAnsi="Arial" w:cs="Arial"/>
          <w:sz w:val="22"/>
          <w:szCs w:val="22"/>
        </w:rPr>
        <w:t>Varangot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1207EA">
        <w:rPr>
          <w:rFonts w:ascii="Arial" w:hAnsi="Arial" w:cs="Arial"/>
          <w:sz w:val="22"/>
          <w:szCs w:val="22"/>
        </w:rPr>
        <w:t>Lebatard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1207EA">
        <w:rPr>
          <w:rFonts w:ascii="Arial" w:hAnsi="Arial" w:cs="Arial"/>
          <w:sz w:val="22"/>
          <w:szCs w:val="22"/>
        </w:rPr>
        <w:t>Bellemain-Sagnard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1207EA">
        <w:rPr>
          <w:rFonts w:ascii="Arial" w:hAnsi="Arial" w:cs="Arial"/>
          <w:sz w:val="22"/>
          <w:szCs w:val="22"/>
        </w:rPr>
        <w:t>Lebouvier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L, </w:t>
      </w:r>
      <w:proofErr w:type="spellStart"/>
      <w:r w:rsidRPr="001207EA">
        <w:rPr>
          <w:rFonts w:ascii="Arial" w:hAnsi="Arial" w:cs="Arial"/>
          <w:sz w:val="22"/>
          <w:szCs w:val="22"/>
        </w:rPr>
        <w:t>Hommet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Y, </w:t>
      </w:r>
      <w:r w:rsidRPr="001207EA">
        <w:rPr>
          <w:rFonts w:ascii="Arial" w:hAnsi="Arial" w:cs="Arial"/>
          <w:b/>
          <w:bCs/>
          <w:sz w:val="22"/>
          <w:szCs w:val="22"/>
        </w:rPr>
        <w:t>Vivien D.</w:t>
      </w:r>
      <w:r w:rsidRPr="001207EA">
        <w:rPr>
          <w:rFonts w:ascii="Arial" w:hAnsi="Arial" w:cs="Arial"/>
          <w:sz w:val="22"/>
          <w:szCs w:val="22"/>
        </w:rPr>
        <w:t xml:space="preserve"> Modulations of the neuronal trafficking of tissue-type plasminogen activator (tPA) influences glutamate release. </w:t>
      </w:r>
      <w:r w:rsidRPr="001207EA">
        <w:rPr>
          <w:rFonts w:ascii="Arial" w:hAnsi="Arial" w:cs="Arial"/>
          <w:b/>
          <w:bCs/>
          <w:sz w:val="22"/>
          <w:szCs w:val="22"/>
        </w:rPr>
        <w:t>Cell Death Dis. 2023</w:t>
      </w:r>
      <w:r w:rsidRPr="001207EA">
        <w:rPr>
          <w:rFonts w:ascii="Arial" w:hAnsi="Arial" w:cs="Arial"/>
          <w:sz w:val="22"/>
          <w:szCs w:val="22"/>
        </w:rPr>
        <w:t xml:space="preserve"> Jan 18;14(1):34.</w:t>
      </w:r>
      <w:r w:rsidR="001207EA" w:rsidRPr="001207EA">
        <w:rPr>
          <w:rFonts w:ascii="Arial" w:hAnsi="Arial" w:cs="Arial"/>
          <w:sz w:val="22"/>
          <w:szCs w:val="22"/>
        </w:rPr>
        <w:t xml:space="preserve"> </w:t>
      </w:r>
      <w:r w:rsidR="001207EA" w:rsidRPr="001207EA">
        <w:rPr>
          <w:rFonts w:ascii="Arial" w:hAnsi="Arial" w:cs="Arial"/>
          <w:sz w:val="22"/>
          <w:szCs w:val="22"/>
        </w:rPr>
        <w:t xml:space="preserve">PMID: 36650132 </w:t>
      </w:r>
      <w:r w:rsidRPr="001207EA">
        <w:rPr>
          <w:rFonts w:ascii="Arial" w:hAnsi="Arial" w:cs="Arial"/>
          <w:sz w:val="22"/>
          <w:szCs w:val="22"/>
        </w:rPr>
        <w:t xml:space="preserve"> </w:t>
      </w:r>
    </w:p>
    <w:p w14:paraId="2BAE3E9B" w14:textId="24CEA99E" w:rsidR="00795EEB" w:rsidRPr="001207EA" w:rsidRDefault="008B3285" w:rsidP="008B36B6">
      <w:pPr>
        <w:pStyle w:val="Paragraphedeliste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1207EA">
        <w:rPr>
          <w:rFonts w:ascii="Arial" w:hAnsi="Arial" w:cs="Arial"/>
          <w:sz w:val="22"/>
          <w:szCs w:val="22"/>
        </w:rPr>
        <w:t>Hingot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1207EA">
        <w:rPr>
          <w:rFonts w:ascii="Arial" w:hAnsi="Arial" w:cs="Arial"/>
          <w:sz w:val="22"/>
          <w:szCs w:val="22"/>
        </w:rPr>
        <w:t>Brodin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C, Lebrun F, </w:t>
      </w:r>
      <w:proofErr w:type="spellStart"/>
      <w:r w:rsidRPr="001207EA">
        <w:rPr>
          <w:rFonts w:ascii="Arial" w:hAnsi="Arial" w:cs="Arial"/>
          <w:sz w:val="22"/>
          <w:szCs w:val="22"/>
        </w:rPr>
        <w:t>Heiles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B</w:t>
      </w:r>
      <w:r w:rsidR="001207E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207EA">
        <w:rPr>
          <w:rFonts w:ascii="Arial" w:hAnsi="Arial" w:cs="Arial"/>
          <w:sz w:val="22"/>
          <w:szCs w:val="22"/>
        </w:rPr>
        <w:t>Chagnot</w:t>
      </w:r>
      <w:proofErr w:type="spellEnd"/>
      <w:r w:rsidR="001207EA">
        <w:rPr>
          <w:rFonts w:ascii="Arial" w:hAnsi="Arial" w:cs="Arial"/>
          <w:sz w:val="22"/>
          <w:szCs w:val="22"/>
        </w:rPr>
        <w:t xml:space="preserve"> A, </w:t>
      </w:r>
      <w:proofErr w:type="spellStart"/>
      <w:r w:rsidR="001207EA">
        <w:rPr>
          <w:rFonts w:ascii="Arial" w:hAnsi="Arial" w:cs="Arial"/>
          <w:sz w:val="22"/>
          <w:szCs w:val="22"/>
        </w:rPr>
        <w:t>Yetim</w:t>
      </w:r>
      <w:proofErr w:type="spellEnd"/>
      <w:r w:rsidR="001207EA">
        <w:rPr>
          <w:rFonts w:ascii="Arial" w:hAnsi="Arial" w:cs="Arial"/>
          <w:sz w:val="22"/>
          <w:szCs w:val="22"/>
        </w:rPr>
        <w:t xml:space="preserve"> M</w:t>
      </w:r>
      <w:r w:rsidRPr="001207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07EA">
        <w:rPr>
          <w:rFonts w:ascii="Arial" w:hAnsi="Arial" w:cs="Arial"/>
          <w:sz w:val="22"/>
          <w:szCs w:val="22"/>
        </w:rPr>
        <w:t>Gauberti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1207EA">
        <w:rPr>
          <w:rFonts w:ascii="Arial" w:hAnsi="Arial" w:cs="Arial"/>
          <w:sz w:val="22"/>
          <w:szCs w:val="22"/>
        </w:rPr>
        <w:t>Orset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1207EA">
        <w:rPr>
          <w:rFonts w:ascii="Arial" w:hAnsi="Arial" w:cs="Arial"/>
          <w:sz w:val="22"/>
          <w:szCs w:val="22"/>
        </w:rPr>
        <w:t>Tanter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M, Couture O, </w:t>
      </w:r>
      <w:proofErr w:type="spellStart"/>
      <w:r w:rsidRPr="001207EA">
        <w:rPr>
          <w:rFonts w:ascii="Arial" w:hAnsi="Arial" w:cs="Arial"/>
          <w:sz w:val="22"/>
          <w:szCs w:val="22"/>
        </w:rPr>
        <w:t>Deffieux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T, Vivien D. </w:t>
      </w:r>
      <w:proofErr w:type="spellStart"/>
      <w:r w:rsidRPr="001207EA">
        <w:rPr>
          <w:rFonts w:ascii="Arial" w:hAnsi="Arial" w:cs="Arial"/>
          <w:sz w:val="22"/>
          <w:szCs w:val="22"/>
        </w:rPr>
        <w:t>Hingot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207EA">
        <w:rPr>
          <w:rFonts w:ascii="Arial" w:hAnsi="Arial" w:cs="Arial"/>
          <w:sz w:val="22"/>
          <w:szCs w:val="22"/>
        </w:rPr>
        <w:t>Brodin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, equal contribution Early ultrafast ultrasound imaging of cerebral </w:t>
      </w:r>
      <w:r w:rsidRPr="001207EA">
        <w:rPr>
          <w:rFonts w:ascii="Arial" w:hAnsi="Arial" w:cs="Arial"/>
          <w:sz w:val="22"/>
          <w:szCs w:val="22"/>
        </w:rPr>
        <w:lastRenderedPageBreak/>
        <w:t xml:space="preserve">perfusion correlates with ischemic stroke outcomes and responses to treatment in mice. </w:t>
      </w:r>
      <w:proofErr w:type="spellStart"/>
      <w:r w:rsidRPr="001207EA">
        <w:rPr>
          <w:rFonts w:ascii="Arial" w:hAnsi="Arial" w:cs="Arial"/>
          <w:b/>
          <w:bCs/>
          <w:sz w:val="22"/>
          <w:szCs w:val="22"/>
        </w:rPr>
        <w:t>Theranostics</w:t>
      </w:r>
      <w:proofErr w:type="spellEnd"/>
      <w:r w:rsidRPr="001207EA">
        <w:rPr>
          <w:rFonts w:ascii="Arial" w:hAnsi="Arial" w:cs="Arial"/>
          <w:b/>
          <w:bCs/>
          <w:sz w:val="22"/>
          <w:szCs w:val="22"/>
        </w:rPr>
        <w:t xml:space="preserve">, 2020 </w:t>
      </w:r>
      <w:r w:rsidRPr="001207EA">
        <w:rPr>
          <w:rFonts w:ascii="Arial" w:hAnsi="Arial" w:cs="Arial"/>
          <w:sz w:val="22"/>
          <w:szCs w:val="22"/>
          <w:shd w:val="clear" w:color="auto" w:fill="FFFFFF"/>
        </w:rPr>
        <w:t xml:space="preserve">Jun 12;10(17):7480-7491. </w:t>
      </w:r>
      <w:r w:rsidR="001207EA" w:rsidRPr="001207EA">
        <w:rPr>
          <w:rFonts w:ascii="Arial" w:hAnsi="Arial" w:cs="Arial"/>
          <w:sz w:val="22"/>
          <w:szCs w:val="22"/>
          <w:shd w:val="clear" w:color="auto" w:fill="FFFFFF"/>
        </w:rPr>
        <w:t>PMID: 32685000</w:t>
      </w:r>
    </w:p>
    <w:p w14:paraId="50C824A9" w14:textId="77777777" w:rsidR="0012130F" w:rsidRPr="002A102C" w:rsidRDefault="0012130F" w:rsidP="008B36B6">
      <w:pPr>
        <w:pStyle w:val="DataField11pt-Single"/>
        <w:rPr>
          <w:b/>
          <w:bCs/>
          <w:szCs w:val="22"/>
        </w:rPr>
      </w:pPr>
      <w:r w:rsidRPr="002A102C">
        <w:rPr>
          <w:b/>
          <w:bCs/>
          <w:szCs w:val="22"/>
        </w:rPr>
        <w:t xml:space="preserve">Publications related to the proposed network program </w:t>
      </w:r>
    </w:p>
    <w:p w14:paraId="428E75F8" w14:textId="77777777" w:rsidR="001207EA" w:rsidRPr="001207EA" w:rsidRDefault="001207EA" w:rsidP="008B36B6">
      <w:pPr>
        <w:pStyle w:val="Paragraphedeliste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Jacqmarcq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C., Picot A., Flon J., Lebrun F., Martinez de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Lizarrondo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S.,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Naveau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M., Bernay B., Goux D., Rubio M.,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Malzert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-Fréon A., Michel A.,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Proamer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M., Mangin P.,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Gauberti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M., </w:t>
      </w:r>
      <w:r w:rsidRPr="001207EA">
        <w:rPr>
          <w:rFonts w:ascii="Arial" w:hAnsi="Arial" w:cs="Arial"/>
          <w:b/>
          <w:bCs/>
          <w:sz w:val="22"/>
          <w:szCs w:val="22"/>
          <w:lang w:val="fr-FR"/>
        </w:rPr>
        <w:t>Vivien D.*,</w:t>
      </w:r>
      <w:r w:rsidRPr="001207EA">
        <w:rPr>
          <w:rFonts w:ascii="Arial" w:hAnsi="Arial" w:cs="Arial"/>
          <w:sz w:val="22"/>
          <w:szCs w:val="22"/>
          <w:lang w:val="fr-FR"/>
        </w:rPr>
        <w:t xml:space="preserve"> Bonnard T*, *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corresponding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1207EA">
        <w:rPr>
          <w:rFonts w:ascii="Arial" w:hAnsi="Arial" w:cs="Arial"/>
          <w:sz w:val="22"/>
          <w:szCs w:val="22"/>
          <w:lang w:val="fr-FR"/>
        </w:rPr>
        <w:t>authors</w:t>
      </w:r>
      <w:proofErr w:type="spellEnd"/>
      <w:r w:rsidRPr="001207EA">
        <w:rPr>
          <w:rFonts w:ascii="Arial" w:hAnsi="Arial" w:cs="Arial"/>
          <w:sz w:val="22"/>
          <w:szCs w:val="22"/>
          <w:lang w:val="fr-FR"/>
        </w:rPr>
        <w:t xml:space="preserve">. </w:t>
      </w:r>
      <w:r w:rsidRPr="001207EA">
        <w:rPr>
          <w:rFonts w:ascii="Arial" w:hAnsi="Arial" w:cs="Arial"/>
          <w:sz w:val="22"/>
          <w:szCs w:val="22"/>
        </w:rPr>
        <w:t xml:space="preserve">MRI-Based Microthrombi Detection in Stroke with Polydopamine Iron Oxide. </w:t>
      </w:r>
      <w:r w:rsidRPr="001207EA">
        <w:rPr>
          <w:rFonts w:ascii="Arial" w:hAnsi="Arial" w:cs="Arial"/>
          <w:b/>
          <w:bCs/>
          <w:sz w:val="22"/>
          <w:szCs w:val="22"/>
        </w:rPr>
        <w:t xml:space="preserve">Nature Communications, 2024 </w:t>
      </w:r>
      <w:r w:rsidRPr="001207EA">
        <w:rPr>
          <w:rFonts w:ascii="Arial" w:hAnsi="Arial" w:cs="Arial"/>
          <w:sz w:val="22"/>
          <w:szCs w:val="22"/>
        </w:rPr>
        <w:t>Jun 13;15(1):5070. PMID: 38871729</w:t>
      </w:r>
    </w:p>
    <w:p w14:paraId="6ADEC244" w14:textId="77777777" w:rsidR="008B36B6" w:rsidRDefault="001207EA" w:rsidP="008B36B6">
      <w:pPr>
        <w:pStyle w:val="Paragraphedeliste"/>
        <w:numPr>
          <w:ilvl w:val="0"/>
          <w:numId w:val="35"/>
        </w:numPr>
        <w:autoSpaceDE/>
        <w:autoSpaceDN/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207EA">
        <w:rPr>
          <w:rFonts w:ascii="Arial" w:hAnsi="Arial" w:cs="Arial"/>
          <w:sz w:val="22"/>
          <w:szCs w:val="22"/>
        </w:rPr>
        <w:t>Levard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D., </w:t>
      </w:r>
      <w:proofErr w:type="spellStart"/>
      <w:r w:rsidRPr="001207EA">
        <w:rPr>
          <w:rFonts w:ascii="Arial" w:hAnsi="Arial" w:cs="Arial"/>
          <w:sz w:val="22"/>
          <w:szCs w:val="22"/>
        </w:rPr>
        <w:t>Seillier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C., </w:t>
      </w:r>
      <w:proofErr w:type="spellStart"/>
      <w:r w:rsidRPr="001207EA">
        <w:rPr>
          <w:rFonts w:ascii="Arial" w:hAnsi="Arial" w:cs="Arial"/>
          <w:sz w:val="22"/>
          <w:szCs w:val="22"/>
        </w:rPr>
        <w:t>Bellemain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7EA">
        <w:rPr>
          <w:rFonts w:ascii="Arial" w:hAnsi="Arial" w:cs="Arial"/>
          <w:sz w:val="22"/>
          <w:szCs w:val="22"/>
        </w:rPr>
        <w:t>Sagnard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M., </w:t>
      </w:r>
      <w:proofErr w:type="spellStart"/>
      <w:r w:rsidRPr="001207EA">
        <w:rPr>
          <w:rFonts w:ascii="Arial" w:hAnsi="Arial" w:cs="Arial"/>
          <w:sz w:val="22"/>
          <w:szCs w:val="22"/>
        </w:rPr>
        <w:t>Riou</w:t>
      </w:r>
      <w:proofErr w:type="spellEnd"/>
      <w:r w:rsidRPr="001207EA">
        <w:rPr>
          <w:rFonts w:ascii="Arial" w:hAnsi="Arial" w:cs="Arial"/>
          <w:sz w:val="22"/>
          <w:szCs w:val="22"/>
        </w:rPr>
        <w:t xml:space="preserve"> G., McDade G., Smith C., McQuaid C., Montagne A., Amann L., Prinz M., </w:t>
      </w:r>
      <w:r w:rsidRPr="001207EA">
        <w:rPr>
          <w:rFonts w:ascii="Arial" w:hAnsi="Arial" w:cs="Arial"/>
          <w:b/>
          <w:bCs/>
          <w:sz w:val="22"/>
          <w:szCs w:val="22"/>
        </w:rPr>
        <w:t>Vivien D.*,</w:t>
      </w:r>
      <w:r w:rsidRPr="001207EA">
        <w:rPr>
          <w:rFonts w:ascii="Arial" w:hAnsi="Arial" w:cs="Arial"/>
          <w:sz w:val="22"/>
          <w:szCs w:val="22"/>
        </w:rPr>
        <w:t xml:space="preserve"> Rubio M.*, * Corresponding authors. CNS-associated macrophages tune immune response after stroke, a phenotype acquired with age. </w:t>
      </w:r>
      <w:r w:rsidRPr="001207EA">
        <w:rPr>
          <w:rFonts w:ascii="Arial" w:hAnsi="Arial" w:cs="Arial"/>
          <w:b/>
          <w:bCs/>
          <w:sz w:val="22"/>
          <w:szCs w:val="22"/>
        </w:rPr>
        <w:t xml:space="preserve">Nature Neuroscience, 2024 </w:t>
      </w:r>
      <w:r w:rsidRPr="001207EA">
        <w:rPr>
          <w:rFonts w:ascii="Arial" w:hAnsi="Arial" w:cs="Arial"/>
          <w:sz w:val="22"/>
          <w:szCs w:val="22"/>
        </w:rPr>
        <w:t xml:space="preserve">Jul 3. </w:t>
      </w:r>
      <w:proofErr w:type="spellStart"/>
      <w:r w:rsidRPr="001207EA">
        <w:rPr>
          <w:rFonts w:ascii="Arial" w:hAnsi="Arial" w:cs="Arial"/>
          <w:sz w:val="22"/>
          <w:szCs w:val="22"/>
        </w:rPr>
        <w:t>doi</w:t>
      </w:r>
      <w:proofErr w:type="spellEnd"/>
      <w:r w:rsidRPr="001207EA">
        <w:rPr>
          <w:rFonts w:ascii="Arial" w:hAnsi="Arial" w:cs="Arial"/>
          <w:sz w:val="22"/>
          <w:szCs w:val="22"/>
        </w:rPr>
        <w:t>: 10.1038/s41593-024-01695-3. PMID: 38961228</w:t>
      </w:r>
    </w:p>
    <w:p w14:paraId="586FCC18" w14:textId="7ECFAAAD" w:rsidR="008B36B6" w:rsidRPr="008B36B6" w:rsidRDefault="008B3285" w:rsidP="008B36B6">
      <w:pPr>
        <w:pStyle w:val="Paragraphedeliste"/>
        <w:numPr>
          <w:ilvl w:val="0"/>
          <w:numId w:val="35"/>
        </w:numPr>
        <w:autoSpaceDE/>
        <w:autoSpaceDN/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B36B6">
        <w:rPr>
          <w:rFonts w:ascii="Arial" w:hAnsi="Arial" w:cs="Arial"/>
          <w:sz w:val="22"/>
          <w:szCs w:val="22"/>
        </w:rPr>
        <w:t>Borha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A, Lebrun F, </w:t>
      </w:r>
      <w:proofErr w:type="spellStart"/>
      <w:r w:rsidRPr="008B36B6">
        <w:rPr>
          <w:rFonts w:ascii="Arial" w:hAnsi="Arial" w:cs="Arial"/>
          <w:sz w:val="22"/>
          <w:szCs w:val="22"/>
        </w:rPr>
        <w:t>Touzé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E, Emery E, </w:t>
      </w:r>
      <w:r w:rsidRPr="008B36B6">
        <w:rPr>
          <w:rFonts w:ascii="Arial" w:hAnsi="Arial" w:cs="Arial"/>
          <w:b/>
          <w:bCs/>
          <w:sz w:val="22"/>
          <w:szCs w:val="22"/>
        </w:rPr>
        <w:t>Vivien D,</w:t>
      </w:r>
      <w:r w:rsidRPr="008B36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6B6">
        <w:rPr>
          <w:rFonts w:ascii="Arial" w:hAnsi="Arial" w:cs="Arial"/>
          <w:sz w:val="22"/>
          <w:szCs w:val="22"/>
        </w:rPr>
        <w:t>Gaberel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T. Impact of Decompressive Craniectomy on Hemorrhagic Transformation in Malignant Ischemic Stroke in Mice. </w:t>
      </w:r>
      <w:r w:rsidRPr="008B36B6">
        <w:rPr>
          <w:rFonts w:ascii="Arial" w:hAnsi="Arial" w:cs="Arial"/>
          <w:b/>
          <w:bCs/>
          <w:sz w:val="22"/>
          <w:szCs w:val="22"/>
        </w:rPr>
        <w:t>Stroke. 2023</w:t>
      </w:r>
      <w:r w:rsidRPr="008B36B6">
        <w:rPr>
          <w:rFonts w:ascii="Arial" w:hAnsi="Arial" w:cs="Arial"/>
          <w:sz w:val="22"/>
          <w:szCs w:val="22"/>
        </w:rPr>
        <w:t xml:space="preserve"> Jan;54(1):e1-e6. Doi 10.1161/STROKEAHA.122.041365. </w:t>
      </w:r>
    </w:p>
    <w:p w14:paraId="3BE08652" w14:textId="693CEFCD" w:rsidR="008B3285" w:rsidRPr="002A102C" w:rsidRDefault="008B3285" w:rsidP="008B36B6">
      <w:pPr>
        <w:pStyle w:val="Paragraphedeliste"/>
        <w:numPr>
          <w:ilvl w:val="0"/>
          <w:numId w:val="35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2A102C">
        <w:rPr>
          <w:rFonts w:ascii="Arial" w:hAnsi="Arial" w:cs="Arial"/>
          <w:sz w:val="22"/>
          <w:szCs w:val="22"/>
        </w:rPr>
        <w:t>Debatisse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2A102C">
        <w:rPr>
          <w:rFonts w:ascii="Arial" w:hAnsi="Arial" w:cs="Arial"/>
          <w:sz w:val="22"/>
          <w:szCs w:val="22"/>
        </w:rPr>
        <w:t>Wateau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O, Cho TH, </w:t>
      </w:r>
      <w:proofErr w:type="spellStart"/>
      <w:r w:rsidRPr="002A102C">
        <w:rPr>
          <w:rFonts w:ascii="Arial" w:hAnsi="Arial" w:cs="Arial"/>
          <w:sz w:val="22"/>
          <w:szCs w:val="22"/>
        </w:rPr>
        <w:t>Costes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N, Mérida I, Léon C, Langlois JB, </w:t>
      </w:r>
      <w:proofErr w:type="spellStart"/>
      <w:r w:rsidRPr="002A102C">
        <w:rPr>
          <w:rFonts w:ascii="Arial" w:hAnsi="Arial" w:cs="Arial"/>
          <w:sz w:val="22"/>
          <w:szCs w:val="22"/>
        </w:rPr>
        <w:t>Taborik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F, Verset M, Portier K, </w:t>
      </w:r>
      <w:proofErr w:type="spellStart"/>
      <w:r w:rsidRPr="002A102C">
        <w:rPr>
          <w:rFonts w:ascii="Arial" w:hAnsi="Arial" w:cs="Arial"/>
          <w:sz w:val="22"/>
          <w:szCs w:val="22"/>
        </w:rPr>
        <w:t>Aggour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2A102C">
        <w:rPr>
          <w:rFonts w:ascii="Arial" w:hAnsi="Arial" w:cs="Arial"/>
          <w:sz w:val="22"/>
          <w:szCs w:val="22"/>
        </w:rPr>
        <w:t>Troalen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2A102C">
        <w:rPr>
          <w:rFonts w:ascii="Arial" w:hAnsi="Arial" w:cs="Arial"/>
          <w:sz w:val="22"/>
          <w:szCs w:val="22"/>
        </w:rPr>
        <w:t>Villien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M, Makris N, </w:t>
      </w:r>
      <w:proofErr w:type="spellStart"/>
      <w:r w:rsidRPr="002A102C">
        <w:rPr>
          <w:rFonts w:ascii="Arial" w:hAnsi="Arial" w:cs="Arial"/>
          <w:sz w:val="22"/>
          <w:szCs w:val="22"/>
        </w:rPr>
        <w:t>Tourvieille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C, Bars DL, Lancelot S, </w:t>
      </w:r>
      <w:proofErr w:type="spellStart"/>
      <w:r w:rsidRPr="002A102C">
        <w:rPr>
          <w:rFonts w:ascii="Arial" w:hAnsi="Arial" w:cs="Arial"/>
          <w:sz w:val="22"/>
          <w:szCs w:val="22"/>
        </w:rPr>
        <w:t>Confais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2A102C">
        <w:rPr>
          <w:rFonts w:ascii="Arial" w:hAnsi="Arial" w:cs="Arial"/>
          <w:sz w:val="22"/>
          <w:szCs w:val="22"/>
        </w:rPr>
        <w:t>Oudotte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A102C">
        <w:rPr>
          <w:rFonts w:ascii="Arial" w:hAnsi="Arial" w:cs="Arial"/>
          <w:sz w:val="22"/>
          <w:szCs w:val="22"/>
        </w:rPr>
        <w:t>Nighoghossian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2A102C">
        <w:rPr>
          <w:rFonts w:ascii="Arial" w:hAnsi="Arial" w:cs="Arial"/>
          <w:sz w:val="22"/>
          <w:szCs w:val="22"/>
        </w:rPr>
        <w:t>Ovize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M, </w:t>
      </w:r>
      <w:r w:rsidRPr="002A102C">
        <w:rPr>
          <w:rFonts w:ascii="Arial" w:hAnsi="Arial" w:cs="Arial"/>
          <w:b/>
          <w:bCs/>
          <w:sz w:val="22"/>
          <w:szCs w:val="22"/>
        </w:rPr>
        <w:t>Vivien D</w:t>
      </w:r>
      <w:r w:rsidRPr="002A10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102C">
        <w:rPr>
          <w:rFonts w:ascii="Arial" w:hAnsi="Arial" w:cs="Arial"/>
          <w:sz w:val="22"/>
          <w:szCs w:val="22"/>
        </w:rPr>
        <w:t>Contamin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H, </w:t>
      </w:r>
      <w:proofErr w:type="spellStart"/>
      <w:r w:rsidRPr="002A102C">
        <w:rPr>
          <w:rFonts w:ascii="Arial" w:hAnsi="Arial" w:cs="Arial"/>
          <w:sz w:val="22"/>
          <w:szCs w:val="22"/>
        </w:rPr>
        <w:t>Agin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2A102C">
        <w:rPr>
          <w:rFonts w:ascii="Arial" w:hAnsi="Arial" w:cs="Arial"/>
          <w:sz w:val="22"/>
          <w:szCs w:val="22"/>
        </w:rPr>
        <w:t>Canet-Soulas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2A102C">
        <w:rPr>
          <w:rFonts w:ascii="Arial" w:hAnsi="Arial" w:cs="Arial"/>
          <w:sz w:val="22"/>
          <w:szCs w:val="22"/>
        </w:rPr>
        <w:t>Eker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OF. A non-human primate model of stroke reproducing endovascular thrombectomy and allowing long-term imaging and neurological read-outs. </w:t>
      </w:r>
      <w:r w:rsidRPr="002A102C">
        <w:rPr>
          <w:rFonts w:ascii="Arial" w:hAnsi="Arial" w:cs="Arial"/>
          <w:b/>
          <w:bCs/>
          <w:i/>
          <w:iCs/>
          <w:sz w:val="22"/>
          <w:szCs w:val="22"/>
        </w:rPr>
        <w:t xml:space="preserve">J </w:t>
      </w:r>
      <w:proofErr w:type="spellStart"/>
      <w:r w:rsidRPr="002A102C">
        <w:rPr>
          <w:rFonts w:ascii="Arial" w:hAnsi="Arial" w:cs="Arial"/>
          <w:b/>
          <w:bCs/>
          <w:i/>
          <w:iCs/>
          <w:sz w:val="22"/>
          <w:szCs w:val="22"/>
        </w:rPr>
        <w:t>Cereb</w:t>
      </w:r>
      <w:proofErr w:type="spellEnd"/>
      <w:r w:rsidRPr="002A102C">
        <w:rPr>
          <w:rFonts w:ascii="Arial" w:hAnsi="Arial" w:cs="Arial"/>
          <w:b/>
          <w:bCs/>
          <w:i/>
          <w:iCs/>
          <w:sz w:val="22"/>
          <w:szCs w:val="22"/>
        </w:rPr>
        <w:t xml:space="preserve"> Blood Flow </w:t>
      </w:r>
      <w:proofErr w:type="spellStart"/>
      <w:r w:rsidRPr="002A102C">
        <w:rPr>
          <w:rFonts w:ascii="Arial" w:hAnsi="Arial" w:cs="Arial"/>
          <w:b/>
          <w:bCs/>
          <w:i/>
          <w:iCs/>
          <w:sz w:val="22"/>
          <w:szCs w:val="22"/>
        </w:rPr>
        <w:t>Metab</w:t>
      </w:r>
      <w:proofErr w:type="spellEnd"/>
      <w:r w:rsidRPr="002A102C">
        <w:rPr>
          <w:rFonts w:ascii="Arial" w:hAnsi="Arial" w:cs="Arial"/>
          <w:b/>
          <w:bCs/>
          <w:sz w:val="22"/>
          <w:szCs w:val="22"/>
        </w:rPr>
        <w:t xml:space="preserve">. 2021 </w:t>
      </w:r>
      <w:r w:rsidRPr="002A102C">
        <w:rPr>
          <w:rFonts w:ascii="Arial" w:hAnsi="Arial" w:cs="Arial"/>
          <w:sz w:val="22"/>
          <w:szCs w:val="22"/>
        </w:rPr>
        <w:t>Apr;41(4):745-760. PMID: 32428423.</w:t>
      </w:r>
    </w:p>
    <w:p w14:paraId="22678C09" w14:textId="593C455E" w:rsidR="008B36B6" w:rsidRDefault="008B3285" w:rsidP="008B36B6">
      <w:pPr>
        <w:pStyle w:val="Paragraphedeliste"/>
        <w:numPr>
          <w:ilvl w:val="0"/>
          <w:numId w:val="35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2A102C">
        <w:rPr>
          <w:rFonts w:ascii="Arial" w:hAnsi="Arial" w:cs="Arial"/>
          <w:sz w:val="22"/>
          <w:szCs w:val="22"/>
        </w:rPr>
        <w:t xml:space="preserve">Marcos-Contreras OA, Martinez de </w:t>
      </w:r>
      <w:proofErr w:type="spellStart"/>
      <w:r w:rsidRPr="002A102C">
        <w:rPr>
          <w:rFonts w:ascii="Arial" w:hAnsi="Arial" w:cs="Arial"/>
          <w:sz w:val="22"/>
          <w:szCs w:val="22"/>
        </w:rPr>
        <w:t>Lizarrondo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2A102C">
        <w:rPr>
          <w:rFonts w:ascii="Arial" w:hAnsi="Arial" w:cs="Arial"/>
          <w:sz w:val="22"/>
          <w:szCs w:val="22"/>
        </w:rPr>
        <w:t>Bardou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2A102C">
        <w:rPr>
          <w:rFonts w:ascii="Arial" w:hAnsi="Arial" w:cs="Arial"/>
          <w:sz w:val="22"/>
          <w:szCs w:val="22"/>
        </w:rPr>
        <w:t>Orset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2A102C">
        <w:rPr>
          <w:rFonts w:ascii="Arial" w:hAnsi="Arial" w:cs="Arial"/>
          <w:sz w:val="22"/>
          <w:szCs w:val="22"/>
        </w:rPr>
        <w:t>Pruvost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2A102C">
        <w:rPr>
          <w:rFonts w:ascii="Arial" w:hAnsi="Arial" w:cs="Arial"/>
          <w:sz w:val="22"/>
          <w:szCs w:val="22"/>
        </w:rPr>
        <w:t>Anfray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A102C">
        <w:rPr>
          <w:rFonts w:ascii="Arial" w:hAnsi="Arial" w:cs="Arial"/>
          <w:sz w:val="22"/>
          <w:szCs w:val="22"/>
        </w:rPr>
        <w:t>Frigout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Y, </w:t>
      </w:r>
      <w:proofErr w:type="spellStart"/>
      <w:r w:rsidRPr="002A102C">
        <w:rPr>
          <w:rFonts w:ascii="Arial" w:hAnsi="Arial" w:cs="Arial"/>
          <w:sz w:val="22"/>
          <w:szCs w:val="22"/>
        </w:rPr>
        <w:t>Hommet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Y, </w:t>
      </w:r>
      <w:proofErr w:type="spellStart"/>
      <w:r w:rsidRPr="002A102C">
        <w:rPr>
          <w:rFonts w:ascii="Arial" w:hAnsi="Arial" w:cs="Arial"/>
          <w:sz w:val="22"/>
          <w:szCs w:val="22"/>
        </w:rPr>
        <w:t>Lebouvier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L, Montaner J, </w:t>
      </w:r>
      <w:r w:rsidRPr="002A102C">
        <w:rPr>
          <w:rFonts w:ascii="Arial" w:hAnsi="Arial" w:cs="Arial"/>
          <w:b/>
          <w:bCs/>
          <w:sz w:val="22"/>
          <w:szCs w:val="22"/>
        </w:rPr>
        <w:t>Vivien D</w:t>
      </w:r>
      <w:r w:rsidRPr="002A10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102C">
        <w:rPr>
          <w:rFonts w:ascii="Arial" w:hAnsi="Arial" w:cs="Arial"/>
          <w:sz w:val="22"/>
          <w:szCs w:val="22"/>
        </w:rPr>
        <w:t>Gauberti</w:t>
      </w:r>
      <w:proofErr w:type="spellEnd"/>
      <w:r w:rsidRPr="002A102C">
        <w:rPr>
          <w:rFonts w:ascii="Arial" w:hAnsi="Arial" w:cs="Arial"/>
          <w:sz w:val="22"/>
          <w:szCs w:val="22"/>
        </w:rPr>
        <w:t xml:space="preserve"> M. Hyperfibrinolysis increases blood-brain barrier permeability by a plasmin- and bradykinin-dependent mechanism. </w:t>
      </w:r>
      <w:r w:rsidRPr="002A102C">
        <w:rPr>
          <w:rFonts w:ascii="Arial" w:hAnsi="Arial" w:cs="Arial"/>
          <w:b/>
          <w:bCs/>
          <w:i/>
          <w:iCs/>
          <w:sz w:val="22"/>
          <w:szCs w:val="22"/>
        </w:rPr>
        <w:t>Blood.</w:t>
      </w:r>
      <w:r w:rsidRPr="002A102C">
        <w:rPr>
          <w:rFonts w:ascii="Arial" w:hAnsi="Arial" w:cs="Arial"/>
          <w:b/>
          <w:bCs/>
          <w:sz w:val="22"/>
          <w:szCs w:val="22"/>
        </w:rPr>
        <w:t xml:space="preserve"> 2016</w:t>
      </w:r>
      <w:r w:rsidRPr="002A102C">
        <w:rPr>
          <w:rFonts w:ascii="Arial" w:hAnsi="Arial" w:cs="Arial"/>
          <w:sz w:val="22"/>
          <w:szCs w:val="22"/>
        </w:rPr>
        <w:t xml:space="preserve"> Nov 17;128(20):2423-2434. PMID: 27531677.</w:t>
      </w:r>
    </w:p>
    <w:p w14:paraId="072BEB2B" w14:textId="77777777" w:rsidR="000F34A6" w:rsidRDefault="008B3285" w:rsidP="000F34A6">
      <w:pPr>
        <w:pStyle w:val="Paragraphedeliste"/>
        <w:numPr>
          <w:ilvl w:val="0"/>
          <w:numId w:val="35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8B36B6">
        <w:rPr>
          <w:rFonts w:ascii="Arial" w:hAnsi="Arial" w:cs="Arial"/>
          <w:sz w:val="22"/>
          <w:szCs w:val="22"/>
        </w:rPr>
        <w:t xml:space="preserve">Martinez de </w:t>
      </w:r>
      <w:proofErr w:type="spellStart"/>
      <w:r w:rsidRPr="008B36B6">
        <w:rPr>
          <w:rFonts w:ascii="Arial" w:hAnsi="Arial" w:cs="Arial"/>
          <w:sz w:val="22"/>
          <w:szCs w:val="22"/>
        </w:rPr>
        <w:t>Lizarrondo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8B36B6">
        <w:rPr>
          <w:rFonts w:ascii="Arial" w:hAnsi="Arial" w:cs="Arial"/>
          <w:sz w:val="22"/>
          <w:szCs w:val="22"/>
        </w:rPr>
        <w:t>Gakuba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8B36B6">
        <w:rPr>
          <w:rFonts w:ascii="Arial" w:hAnsi="Arial" w:cs="Arial"/>
          <w:sz w:val="22"/>
          <w:szCs w:val="22"/>
        </w:rPr>
        <w:t>Herbig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BA, </w:t>
      </w:r>
      <w:proofErr w:type="spellStart"/>
      <w:r w:rsidRPr="008B36B6">
        <w:rPr>
          <w:rFonts w:ascii="Arial" w:hAnsi="Arial" w:cs="Arial"/>
          <w:sz w:val="22"/>
          <w:szCs w:val="22"/>
        </w:rPr>
        <w:t>Repessé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Y, Ali C, Denis CV, </w:t>
      </w:r>
      <w:proofErr w:type="spellStart"/>
      <w:r w:rsidRPr="008B36B6">
        <w:rPr>
          <w:rFonts w:ascii="Arial" w:hAnsi="Arial" w:cs="Arial"/>
          <w:sz w:val="22"/>
          <w:szCs w:val="22"/>
        </w:rPr>
        <w:t>Lenting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PJ, </w:t>
      </w:r>
      <w:proofErr w:type="spellStart"/>
      <w:r w:rsidRPr="008B36B6">
        <w:rPr>
          <w:rFonts w:ascii="Arial" w:hAnsi="Arial" w:cs="Arial"/>
          <w:sz w:val="22"/>
          <w:szCs w:val="22"/>
        </w:rPr>
        <w:t>Touzé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E, Diamond SL, </w:t>
      </w:r>
      <w:r w:rsidRPr="008B36B6">
        <w:rPr>
          <w:rFonts w:ascii="Arial" w:hAnsi="Arial" w:cs="Arial"/>
          <w:b/>
          <w:bCs/>
          <w:sz w:val="22"/>
          <w:szCs w:val="22"/>
        </w:rPr>
        <w:t>Vivien D</w:t>
      </w:r>
      <w:r w:rsidRPr="008B36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36B6">
        <w:rPr>
          <w:rFonts w:ascii="Arial" w:hAnsi="Arial" w:cs="Arial"/>
          <w:sz w:val="22"/>
          <w:szCs w:val="22"/>
        </w:rPr>
        <w:t>Gauberti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M. Potent Thrombolytic Effect of N-Acetylcysteine on Arterial Thrombi. </w:t>
      </w:r>
      <w:r w:rsidRPr="008B36B6">
        <w:rPr>
          <w:rFonts w:ascii="Arial" w:hAnsi="Arial" w:cs="Arial"/>
          <w:b/>
          <w:bCs/>
          <w:i/>
          <w:iCs/>
          <w:sz w:val="22"/>
          <w:szCs w:val="22"/>
        </w:rPr>
        <w:t>Circulation</w:t>
      </w:r>
      <w:r w:rsidRPr="008B36B6">
        <w:rPr>
          <w:rFonts w:ascii="Arial" w:hAnsi="Arial" w:cs="Arial"/>
          <w:b/>
          <w:bCs/>
          <w:sz w:val="22"/>
          <w:szCs w:val="22"/>
        </w:rPr>
        <w:t>. 2017</w:t>
      </w:r>
      <w:r w:rsidRPr="008B36B6">
        <w:rPr>
          <w:rFonts w:ascii="Arial" w:hAnsi="Arial" w:cs="Arial"/>
          <w:sz w:val="22"/>
          <w:szCs w:val="22"/>
        </w:rPr>
        <w:t xml:space="preserve"> Aug 15;136(7):646-660. PMID: 28487393. </w:t>
      </w:r>
    </w:p>
    <w:p w14:paraId="1852D3C2" w14:textId="56796A45" w:rsidR="008B36B6" w:rsidRDefault="008B3285" w:rsidP="000F34A6">
      <w:pPr>
        <w:pStyle w:val="Paragraphedeliste"/>
        <w:numPr>
          <w:ilvl w:val="0"/>
          <w:numId w:val="35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0F34A6">
        <w:rPr>
          <w:rFonts w:ascii="Arial" w:hAnsi="Arial" w:cs="Arial"/>
          <w:sz w:val="22"/>
          <w:szCs w:val="22"/>
        </w:rPr>
        <w:t xml:space="preserve">Martinez de </w:t>
      </w:r>
      <w:proofErr w:type="spellStart"/>
      <w:r w:rsidRPr="000F34A6">
        <w:rPr>
          <w:rFonts w:ascii="Arial" w:hAnsi="Arial" w:cs="Arial"/>
          <w:sz w:val="22"/>
          <w:szCs w:val="22"/>
        </w:rPr>
        <w:t>Lizarrondo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0F34A6">
        <w:rPr>
          <w:rFonts w:ascii="Arial" w:hAnsi="Arial" w:cs="Arial"/>
          <w:sz w:val="22"/>
          <w:szCs w:val="22"/>
        </w:rPr>
        <w:t>Jacqmarcq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0F34A6">
        <w:rPr>
          <w:rFonts w:ascii="Arial" w:hAnsi="Arial" w:cs="Arial"/>
          <w:sz w:val="22"/>
          <w:szCs w:val="22"/>
        </w:rPr>
        <w:t>Naveau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M, Navarro-Oviedo M, </w:t>
      </w:r>
      <w:proofErr w:type="spellStart"/>
      <w:r w:rsidRPr="000F34A6">
        <w:rPr>
          <w:rFonts w:ascii="Arial" w:hAnsi="Arial" w:cs="Arial"/>
          <w:sz w:val="22"/>
          <w:szCs w:val="22"/>
        </w:rPr>
        <w:t>Pedron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S, Adam A, </w:t>
      </w:r>
      <w:proofErr w:type="spellStart"/>
      <w:r w:rsidRPr="000F34A6">
        <w:rPr>
          <w:rFonts w:ascii="Arial" w:hAnsi="Arial" w:cs="Arial"/>
          <w:sz w:val="22"/>
          <w:szCs w:val="22"/>
        </w:rPr>
        <w:t>Freis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B, </w:t>
      </w:r>
      <w:proofErr w:type="spellStart"/>
      <w:r w:rsidRPr="000F34A6">
        <w:rPr>
          <w:rFonts w:ascii="Arial" w:hAnsi="Arial" w:cs="Arial"/>
          <w:sz w:val="22"/>
          <w:szCs w:val="22"/>
        </w:rPr>
        <w:t>Allouche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0F34A6">
        <w:rPr>
          <w:rFonts w:ascii="Arial" w:hAnsi="Arial" w:cs="Arial"/>
          <w:sz w:val="22"/>
          <w:szCs w:val="22"/>
        </w:rPr>
        <w:t>Goux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0F34A6">
        <w:rPr>
          <w:rFonts w:ascii="Arial" w:hAnsi="Arial" w:cs="Arial"/>
          <w:sz w:val="22"/>
          <w:szCs w:val="22"/>
        </w:rPr>
        <w:t>Razafindrakoto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0F34A6">
        <w:rPr>
          <w:rFonts w:ascii="Arial" w:hAnsi="Arial" w:cs="Arial"/>
          <w:sz w:val="22"/>
          <w:szCs w:val="22"/>
        </w:rPr>
        <w:t>Gazeau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F, Mertz D, </w:t>
      </w:r>
      <w:r w:rsidRPr="000F34A6">
        <w:rPr>
          <w:rFonts w:ascii="Arial" w:hAnsi="Arial" w:cs="Arial"/>
          <w:b/>
          <w:bCs/>
          <w:sz w:val="22"/>
          <w:szCs w:val="22"/>
        </w:rPr>
        <w:t>Vivien D</w:t>
      </w:r>
      <w:r w:rsidRPr="000F34A6">
        <w:rPr>
          <w:rFonts w:ascii="Arial" w:hAnsi="Arial" w:cs="Arial"/>
          <w:sz w:val="22"/>
          <w:szCs w:val="22"/>
        </w:rPr>
        <w:t xml:space="preserve">, Bonnard T, </w:t>
      </w:r>
      <w:proofErr w:type="spellStart"/>
      <w:r w:rsidRPr="000F34A6">
        <w:rPr>
          <w:rFonts w:ascii="Arial" w:hAnsi="Arial" w:cs="Arial"/>
          <w:sz w:val="22"/>
          <w:szCs w:val="22"/>
        </w:rPr>
        <w:t>Gauberti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4A6">
        <w:rPr>
          <w:rFonts w:ascii="Arial" w:hAnsi="Arial" w:cs="Arial"/>
          <w:sz w:val="22"/>
          <w:szCs w:val="22"/>
        </w:rPr>
        <w:t>M.Tracking</w:t>
      </w:r>
      <w:proofErr w:type="spellEnd"/>
      <w:r w:rsidRPr="000F34A6">
        <w:rPr>
          <w:rFonts w:ascii="Arial" w:hAnsi="Arial" w:cs="Arial"/>
          <w:sz w:val="22"/>
          <w:szCs w:val="22"/>
        </w:rPr>
        <w:t xml:space="preserve"> the immune response by MRI using biodegradable and ultrasensitive microprobes. </w:t>
      </w:r>
      <w:r w:rsidRPr="000F34A6">
        <w:rPr>
          <w:rFonts w:ascii="Arial" w:hAnsi="Arial" w:cs="Arial"/>
          <w:b/>
          <w:bCs/>
          <w:i/>
          <w:iCs/>
          <w:sz w:val="22"/>
          <w:szCs w:val="22"/>
        </w:rPr>
        <w:t>Sci Adv. 2022</w:t>
      </w:r>
      <w:r w:rsidRPr="000F34A6">
        <w:rPr>
          <w:rFonts w:ascii="Arial" w:hAnsi="Arial" w:cs="Arial"/>
          <w:sz w:val="22"/>
          <w:szCs w:val="22"/>
        </w:rPr>
        <w:t xml:space="preserve"> Jul 15;8(28):eabm3596. </w:t>
      </w:r>
      <w:r w:rsidR="000F34A6">
        <w:rPr>
          <w:rFonts w:ascii="Arial" w:hAnsi="Arial" w:cs="Arial"/>
          <w:sz w:val="22"/>
          <w:szCs w:val="22"/>
          <w:lang w:val="fr-FR"/>
        </w:rPr>
        <w:t>PMID : 35857494</w:t>
      </w:r>
    </w:p>
    <w:p w14:paraId="74E18E3C" w14:textId="77777777" w:rsidR="008B36B6" w:rsidRDefault="008B3285" w:rsidP="008B36B6">
      <w:pPr>
        <w:pStyle w:val="Paragraphedeliste"/>
        <w:numPr>
          <w:ilvl w:val="0"/>
          <w:numId w:val="35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8B36B6">
        <w:rPr>
          <w:rFonts w:ascii="Arial" w:hAnsi="Arial" w:cs="Arial"/>
          <w:sz w:val="22"/>
          <w:szCs w:val="22"/>
        </w:rPr>
        <w:t xml:space="preserve">Fournier AP, Martinez de </w:t>
      </w:r>
      <w:proofErr w:type="spellStart"/>
      <w:r w:rsidRPr="008B36B6">
        <w:rPr>
          <w:rFonts w:ascii="Arial" w:hAnsi="Arial" w:cs="Arial"/>
          <w:sz w:val="22"/>
          <w:szCs w:val="22"/>
        </w:rPr>
        <w:t>Lizarrondo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8B36B6">
        <w:rPr>
          <w:rFonts w:ascii="Arial" w:hAnsi="Arial" w:cs="Arial"/>
          <w:sz w:val="22"/>
          <w:szCs w:val="22"/>
        </w:rPr>
        <w:t>Rateau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A, Gerard-</w:t>
      </w:r>
      <w:proofErr w:type="spellStart"/>
      <w:r w:rsidRPr="008B36B6">
        <w:rPr>
          <w:rFonts w:ascii="Arial" w:hAnsi="Arial" w:cs="Arial"/>
          <w:sz w:val="22"/>
          <w:szCs w:val="22"/>
        </w:rPr>
        <w:t>Brisou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A, Waldner MJ, </w:t>
      </w:r>
      <w:proofErr w:type="spellStart"/>
      <w:r w:rsidRPr="008B36B6">
        <w:rPr>
          <w:rFonts w:ascii="Arial" w:hAnsi="Arial" w:cs="Arial"/>
          <w:sz w:val="22"/>
          <w:szCs w:val="22"/>
        </w:rPr>
        <w:t>Neurath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MF, </w:t>
      </w:r>
      <w:r w:rsidRPr="008B36B6">
        <w:rPr>
          <w:rFonts w:ascii="Arial" w:hAnsi="Arial" w:cs="Arial"/>
          <w:b/>
          <w:bCs/>
          <w:sz w:val="22"/>
          <w:szCs w:val="22"/>
        </w:rPr>
        <w:t>Vivien D</w:t>
      </w:r>
      <w:r w:rsidRPr="008B36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36B6">
        <w:rPr>
          <w:rFonts w:ascii="Arial" w:hAnsi="Arial" w:cs="Arial"/>
          <w:sz w:val="22"/>
          <w:szCs w:val="22"/>
        </w:rPr>
        <w:t>Docagne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8B36B6">
        <w:rPr>
          <w:rFonts w:ascii="Arial" w:hAnsi="Arial" w:cs="Arial"/>
          <w:sz w:val="22"/>
          <w:szCs w:val="22"/>
        </w:rPr>
        <w:t>Gauberti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M.  Ultrasensitive molecular imaging of intestinal mucosal inflammation using leukocyte-mimicking particles targeted to MAdCAM-1 in mice. </w:t>
      </w:r>
      <w:r w:rsidRPr="008B36B6">
        <w:rPr>
          <w:rFonts w:ascii="Arial" w:hAnsi="Arial" w:cs="Arial"/>
          <w:b/>
          <w:bCs/>
          <w:i/>
          <w:iCs/>
          <w:sz w:val="22"/>
          <w:szCs w:val="22"/>
        </w:rPr>
        <w:t xml:space="preserve">Sci </w:t>
      </w:r>
      <w:proofErr w:type="spellStart"/>
      <w:r w:rsidRPr="008B36B6">
        <w:rPr>
          <w:rFonts w:ascii="Arial" w:hAnsi="Arial" w:cs="Arial"/>
          <w:b/>
          <w:bCs/>
          <w:i/>
          <w:iCs/>
          <w:sz w:val="22"/>
          <w:szCs w:val="22"/>
        </w:rPr>
        <w:t>Transl</w:t>
      </w:r>
      <w:proofErr w:type="spellEnd"/>
      <w:r w:rsidRPr="008B36B6">
        <w:rPr>
          <w:rFonts w:ascii="Arial" w:hAnsi="Arial" w:cs="Arial"/>
          <w:b/>
          <w:bCs/>
          <w:i/>
          <w:iCs/>
          <w:sz w:val="22"/>
          <w:szCs w:val="22"/>
        </w:rPr>
        <w:t xml:space="preserve"> Med.</w:t>
      </w:r>
      <w:r w:rsidRPr="008B36B6">
        <w:rPr>
          <w:rFonts w:ascii="Arial" w:hAnsi="Arial" w:cs="Arial"/>
          <w:b/>
          <w:bCs/>
          <w:sz w:val="22"/>
          <w:szCs w:val="22"/>
        </w:rPr>
        <w:t xml:space="preserve"> 2020</w:t>
      </w:r>
      <w:r w:rsidRPr="008B36B6">
        <w:rPr>
          <w:rFonts w:ascii="Arial" w:hAnsi="Arial" w:cs="Arial"/>
          <w:sz w:val="22"/>
          <w:szCs w:val="22"/>
        </w:rPr>
        <w:t xml:space="preserve"> Sep 9;12(560):eaaz4047. </w:t>
      </w:r>
      <w:proofErr w:type="spellStart"/>
      <w:r w:rsidRPr="008B36B6">
        <w:rPr>
          <w:rFonts w:ascii="Arial" w:hAnsi="Arial" w:cs="Arial"/>
          <w:sz w:val="22"/>
          <w:szCs w:val="22"/>
        </w:rPr>
        <w:t>doi</w:t>
      </w:r>
      <w:proofErr w:type="spellEnd"/>
      <w:r w:rsidRPr="008B36B6">
        <w:rPr>
          <w:rFonts w:ascii="Arial" w:hAnsi="Arial" w:cs="Arial"/>
          <w:sz w:val="22"/>
          <w:szCs w:val="22"/>
        </w:rPr>
        <w:t>: 10.1126/scitranslmed.aaz4047. PMID: 32908005.</w:t>
      </w:r>
    </w:p>
    <w:p w14:paraId="63EEFFAE" w14:textId="2347B407" w:rsidR="008B3285" w:rsidRPr="008B36B6" w:rsidRDefault="008B3285" w:rsidP="008B36B6">
      <w:pPr>
        <w:pStyle w:val="Paragraphedeliste"/>
        <w:numPr>
          <w:ilvl w:val="0"/>
          <w:numId w:val="35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8B36B6">
        <w:rPr>
          <w:rFonts w:ascii="Arial" w:hAnsi="Arial" w:cs="Arial"/>
          <w:sz w:val="22"/>
          <w:szCs w:val="22"/>
        </w:rPr>
        <w:t xml:space="preserve">Fournier AP, </w:t>
      </w:r>
      <w:proofErr w:type="spellStart"/>
      <w:r w:rsidRPr="008B36B6">
        <w:rPr>
          <w:rFonts w:ascii="Arial" w:hAnsi="Arial" w:cs="Arial"/>
          <w:sz w:val="22"/>
          <w:szCs w:val="22"/>
        </w:rPr>
        <w:t>Quenault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A, Martinez de </w:t>
      </w:r>
      <w:proofErr w:type="spellStart"/>
      <w:r w:rsidRPr="008B36B6">
        <w:rPr>
          <w:rFonts w:ascii="Arial" w:hAnsi="Arial" w:cs="Arial"/>
          <w:sz w:val="22"/>
          <w:szCs w:val="22"/>
        </w:rPr>
        <w:t>Lizarrondo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8B36B6">
        <w:rPr>
          <w:rFonts w:ascii="Arial" w:hAnsi="Arial" w:cs="Arial"/>
          <w:sz w:val="22"/>
          <w:szCs w:val="22"/>
        </w:rPr>
        <w:t>Gauberti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M, Defer G, </w:t>
      </w:r>
      <w:r w:rsidRPr="008B36B6">
        <w:rPr>
          <w:rFonts w:ascii="Arial" w:hAnsi="Arial" w:cs="Arial"/>
          <w:b/>
          <w:bCs/>
          <w:sz w:val="22"/>
          <w:szCs w:val="22"/>
        </w:rPr>
        <w:t>Vivien D</w:t>
      </w:r>
      <w:r w:rsidRPr="008B36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36B6">
        <w:rPr>
          <w:rFonts w:ascii="Arial" w:hAnsi="Arial" w:cs="Arial"/>
          <w:sz w:val="22"/>
          <w:szCs w:val="22"/>
        </w:rPr>
        <w:t>Docagne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8B36B6">
        <w:rPr>
          <w:rFonts w:ascii="Arial" w:hAnsi="Arial" w:cs="Arial"/>
          <w:sz w:val="22"/>
          <w:szCs w:val="22"/>
        </w:rPr>
        <w:t>Macrez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R. Prediction of disease activity in models of multiple sclerosis by molecular magnetic resonance imaging of P-selectin. </w:t>
      </w:r>
      <w:r w:rsidRPr="008B36B6">
        <w:rPr>
          <w:rFonts w:ascii="Arial" w:hAnsi="Arial" w:cs="Arial"/>
          <w:b/>
          <w:bCs/>
          <w:i/>
          <w:iCs/>
          <w:sz w:val="22"/>
          <w:szCs w:val="22"/>
        </w:rPr>
        <w:t xml:space="preserve">Proc Natl </w:t>
      </w:r>
      <w:proofErr w:type="spellStart"/>
      <w:r w:rsidRPr="008B36B6">
        <w:rPr>
          <w:rFonts w:ascii="Arial" w:hAnsi="Arial" w:cs="Arial"/>
          <w:b/>
          <w:bCs/>
          <w:i/>
          <w:iCs/>
          <w:sz w:val="22"/>
          <w:szCs w:val="22"/>
        </w:rPr>
        <w:t>Acad</w:t>
      </w:r>
      <w:proofErr w:type="spellEnd"/>
      <w:r w:rsidRPr="008B36B6">
        <w:rPr>
          <w:rFonts w:ascii="Arial" w:hAnsi="Arial" w:cs="Arial"/>
          <w:b/>
          <w:bCs/>
          <w:i/>
          <w:iCs/>
          <w:sz w:val="22"/>
          <w:szCs w:val="22"/>
        </w:rPr>
        <w:t xml:space="preserve"> Sci U S A. </w:t>
      </w:r>
      <w:r w:rsidRPr="008B36B6">
        <w:rPr>
          <w:rFonts w:ascii="Arial" w:hAnsi="Arial" w:cs="Arial"/>
          <w:b/>
          <w:bCs/>
          <w:sz w:val="22"/>
          <w:szCs w:val="22"/>
        </w:rPr>
        <w:t>2017</w:t>
      </w:r>
      <w:r w:rsidRPr="008B36B6">
        <w:rPr>
          <w:rFonts w:ascii="Arial" w:hAnsi="Arial" w:cs="Arial"/>
          <w:sz w:val="22"/>
          <w:szCs w:val="22"/>
        </w:rPr>
        <w:t xml:space="preserve"> Jun 6;114(23):6116-6121. </w:t>
      </w:r>
      <w:proofErr w:type="spellStart"/>
      <w:r w:rsidRPr="008B36B6">
        <w:rPr>
          <w:rFonts w:ascii="Arial" w:hAnsi="Arial" w:cs="Arial"/>
          <w:sz w:val="22"/>
          <w:szCs w:val="22"/>
        </w:rPr>
        <w:t>doi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: 10.1073/pnas.1619424114. </w:t>
      </w:r>
      <w:proofErr w:type="spellStart"/>
      <w:r w:rsidRPr="008B36B6">
        <w:rPr>
          <w:rFonts w:ascii="Arial" w:hAnsi="Arial" w:cs="Arial"/>
          <w:sz w:val="22"/>
          <w:szCs w:val="22"/>
        </w:rPr>
        <w:t>Epub</w:t>
      </w:r>
      <w:proofErr w:type="spellEnd"/>
      <w:r w:rsidRPr="008B36B6">
        <w:rPr>
          <w:rFonts w:ascii="Arial" w:hAnsi="Arial" w:cs="Arial"/>
          <w:sz w:val="22"/>
          <w:szCs w:val="22"/>
        </w:rPr>
        <w:t xml:space="preserve"> 2017 May 22. PMID: 28533365. PMCID: PMC5468646</w:t>
      </w:r>
    </w:p>
    <w:p w14:paraId="1C8819C6" w14:textId="77777777" w:rsidR="00E86974" w:rsidRPr="002A102C" w:rsidRDefault="00E86974" w:rsidP="00E86974">
      <w:pPr>
        <w:pStyle w:val="DataField11pt-Single"/>
        <w:rPr>
          <w:b/>
          <w:bCs/>
          <w:szCs w:val="22"/>
        </w:rPr>
      </w:pPr>
    </w:p>
    <w:p w14:paraId="3D7ECEBC" w14:textId="792A21CF" w:rsidR="002A102C" w:rsidRPr="008B36B6" w:rsidRDefault="00E86974" w:rsidP="008B36B6">
      <w:pPr>
        <w:pStyle w:val="DataField11pt-Single"/>
        <w:numPr>
          <w:ilvl w:val="0"/>
          <w:numId w:val="23"/>
        </w:numPr>
        <w:ind w:left="284" w:hanging="284"/>
        <w:jc w:val="both"/>
        <w:rPr>
          <w:b/>
          <w:bCs/>
          <w:szCs w:val="22"/>
        </w:rPr>
      </w:pPr>
      <w:r w:rsidRPr="002A102C">
        <w:rPr>
          <w:b/>
          <w:bCs/>
          <w:szCs w:val="22"/>
        </w:rPr>
        <w:t>Current grant support</w:t>
      </w:r>
      <w:r w:rsidR="002A102C" w:rsidRPr="002A102C">
        <w:rPr>
          <w:b/>
          <w:bCs/>
          <w:szCs w:val="22"/>
        </w:rPr>
        <w:t xml:space="preserve"> among others</w:t>
      </w:r>
      <w:r w:rsidR="000544AB" w:rsidRPr="002A102C">
        <w:rPr>
          <w:b/>
          <w:bCs/>
          <w:szCs w:val="22"/>
        </w:rPr>
        <w:t xml:space="preserve"> </w:t>
      </w:r>
      <w:r w:rsidR="000544AB" w:rsidRPr="002A102C">
        <w:rPr>
          <w:szCs w:val="22"/>
        </w:rPr>
        <w:t xml:space="preserve">(direct funds to </w:t>
      </w:r>
      <w:r w:rsidR="001C408E" w:rsidRPr="002A102C">
        <w:rPr>
          <w:szCs w:val="22"/>
        </w:rPr>
        <w:t>Vivien</w:t>
      </w:r>
      <w:r w:rsidR="00425157" w:rsidRPr="002A102C">
        <w:rPr>
          <w:szCs w:val="22"/>
        </w:rPr>
        <w:t xml:space="preserve"> </w:t>
      </w:r>
      <w:r w:rsidR="000544AB" w:rsidRPr="002A102C">
        <w:rPr>
          <w:szCs w:val="22"/>
        </w:rPr>
        <w:t>Lab)</w:t>
      </w:r>
      <w:r w:rsidR="008B36B6">
        <w:rPr>
          <w:szCs w:val="22"/>
        </w:rPr>
        <w:t xml:space="preserve"> - </w:t>
      </w:r>
      <w:r w:rsidR="009D239F" w:rsidRPr="008B36B6">
        <w:rPr>
          <w:b/>
          <w:bCs/>
          <w:iCs/>
          <w:szCs w:val="22"/>
        </w:rPr>
        <w:t>20</w:t>
      </w:r>
      <w:r w:rsidR="001C408E" w:rsidRPr="008B36B6">
        <w:rPr>
          <w:b/>
          <w:bCs/>
          <w:iCs/>
          <w:szCs w:val="22"/>
        </w:rPr>
        <w:t>24</w:t>
      </w:r>
      <w:r w:rsidR="009D239F" w:rsidRPr="008B36B6">
        <w:rPr>
          <w:b/>
          <w:bCs/>
          <w:iCs/>
          <w:szCs w:val="22"/>
        </w:rPr>
        <w:t>-202</w:t>
      </w:r>
      <w:r w:rsidR="001C408E" w:rsidRPr="008B36B6">
        <w:rPr>
          <w:b/>
          <w:bCs/>
          <w:iCs/>
          <w:szCs w:val="22"/>
        </w:rPr>
        <w:t>9</w:t>
      </w:r>
      <w:r w:rsidR="009D239F" w:rsidRPr="008B36B6">
        <w:rPr>
          <w:iCs/>
          <w:szCs w:val="22"/>
        </w:rPr>
        <w:t xml:space="preserve"> </w:t>
      </w:r>
      <w:r w:rsidR="001C408E" w:rsidRPr="008B36B6">
        <w:rPr>
          <w:iCs/>
          <w:szCs w:val="22"/>
        </w:rPr>
        <w:t xml:space="preserve">France 2030 Excellence research program, Caesar, Molecular Imaging of Inflammation </w:t>
      </w:r>
      <w:r w:rsidR="00087E80" w:rsidRPr="008B36B6">
        <w:rPr>
          <w:iCs/>
          <w:szCs w:val="22"/>
        </w:rPr>
        <w:t>(PI)</w:t>
      </w:r>
      <w:r w:rsidR="009D239F" w:rsidRPr="008B36B6">
        <w:rPr>
          <w:iCs/>
          <w:szCs w:val="22"/>
        </w:rPr>
        <w:t xml:space="preserve"> </w:t>
      </w:r>
      <w:r w:rsidR="002A102C" w:rsidRPr="008B36B6">
        <w:rPr>
          <w:iCs/>
          <w:szCs w:val="22"/>
        </w:rPr>
        <w:t>Euro 3.300.</w:t>
      </w:r>
      <w:r w:rsidR="00254863" w:rsidRPr="008B36B6">
        <w:rPr>
          <w:iCs/>
          <w:szCs w:val="22"/>
        </w:rPr>
        <w:t>000</w:t>
      </w:r>
      <w:r w:rsidR="002A102C" w:rsidRPr="008B36B6">
        <w:rPr>
          <w:iCs/>
          <w:szCs w:val="22"/>
        </w:rPr>
        <w:t xml:space="preserve"> - </w:t>
      </w:r>
      <w:r w:rsidR="00254863" w:rsidRPr="008B36B6">
        <w:rPr>
          <w:b/>
          <w:bCs/>
          <w:iCs/>
          <w:szCs w:val="22"/>
        </w:rPr>
        <w:t>202</w:t>
      </w:r>
      <w:r w:rsidR="002A102C" w:rsidRPr="008B36B6">
        <w:rPr>
          <w:b/>
          <w:bCs/>
          <w:iCs/>
          <w:szCs w:val="22"/>
        </w:rPr>
        <w:t>3</w:t>
      </w:r>
      <w:r w:rsidR="00254863" w:rsidRPr="008B36B6">
        <w:rPr>
          <w:b/>
          <w:bCs/>
          <w:iCs/>
          <w:szCs w:val="22"/>
        </w:rPr>
        <w:t>-202</w:t>
      </w:r>
      <w:r w:rsidR="002A102C" w:rsidRPr="008B36B6">
        <w:rPr>
          <w:b/>
          <w:bCs/>
          <w:iCs/>
          <w:szCs w:val="22"/>
        </w:rPr>
        <w:t>6</w:t>
      </w:r>
      <w:r w:rsidR="00254863" w:rsidRPr="008B36B6">
        <w:rPr>
          <w:iCs/>
          <w:szCs w:val="22"/>
        </w:rPr>
        <w:t xml:space="preserve"> </w:t>
      </w:r>
      <w:proofErr w:type="spellStart"/>
      <w:r w:rsidR="002A102C" w:rsidRPr="008B36B6">
        <w:rPr>
          <w:iCs/>
          <w:szCs w:val="22"/>
        </w:rPr>
        <w:t>Eranet</w:t>
      </w:r>
      <w:proofErr w:type="spellEnd"/>
      <w:r w:rsidR="002A102C" w:rsidRPr="008B36B6">
        <w:rPr>
          <w:iCs/>
          <w:szCs w:val="22"/>
        </w:rPr>
        <w:t xml:space="preserve">-Neuron, </w:t>
      </w:r>
      <w:proofErr w:type="spellStart"/>
      <w:r w:rsidR="002A102C" w:rsidRPr="008B36B6">
        <w:rPr>
          <w:iCs/>
          <w:szCs w:val="22"/>
        </w:rPr>
        <w:t>Menispys</w:t>
      </w:r>
      <w:proofErr w:type="spellEnd"/>
      <w:r w:rsidR="002A102C" w:rsidRPr="008B36B6">
        <w:rPr>
          <w:iCs/>
          <w:szCs w:val="22"/>
        </w:rPr>
        <w:t xml:space="preserve">, </w:t>
      </w:r>
      <w:r w:rsidR="002A102C" w:rsidRPr="008B36B6">
        <w:rPr>
          <w:rStyle w:val="apple-converted-space"/>
          <w:color w:val="4D5156"/>
          <w:szCs w:val="22"/>
          <w:shd w:val="clear" w:color="auto" w:fill="FFFFFF"/>
        </w:rPr>
        <w:t> </w:t>
      </w:r>
      <w:r w:rsidR="002A102C" w:rsidRPr="008B36B6">
        <w:rPr>
          <w:color w:val="4D5156"/>
          <w:szCs w:val="22"/>
          <w:shd w:val="clear" w:color="auto" w:fill="FFFFFF"/>
        </w:rPr>
        <w:t>grant agreement No 964215</w:t>
      </w:r>
      <w:r w:rsidR="002A102C" w:rsidRPr="008B36B6">
        <w:rPr>
          <w:iCs/>
          <w:szCs w:val="22"/>
        </w:rPr>
        <w:t xml:space="preserve"> - </w:t>
      </w:r>
      <w:r w:rsidR="002A102C" w:rsidRPr="008B36B6">
        <w:rPr>
          <w:color w:val="000000"/>
          <w:spacing w:val="-10"/>
          <w:szCs w:val="22"/>
        </w:rPr>
        <w:t>The meninges as a new player in post-stroke recovery</w:t>
      </w:r>
      <w:r w:rsidR="00254863" w:rsidRPr="008B36B6">
        <w:rPr>
          <w:iCs/>
          <w:szCs w:val="22"/>
        </w:rPr>
        <w:t xml:space="preserve"> (PI) </w:t>
      </w:r>
      <w:r w:rsidR="002A102C" w:rsidRPr="008B36B6">
        <w:rPr>
          <w:iCs/>
          <w:szCs w:val="22"/>
        </w:rPr>
        <w:t>Euro; 315.</w:t>
      </w:r>
      <w:r w:rsidR="00254863" w:rsidRPr="008B36B6">
        <w:rPr>
          <w:iCs/>
          <w:szCs w:val="22"/>
        </w:rPr>
        <w:t>000</w:t>
      </w:r>
      <w:r w:rsidR="002A102C" w:rsidRPr="008B36B6">
        <w:rPr>
          <w:iCs/>
          <w:szCs w:val="22"/>
        </w:rPr>
        <w:t xml:space="preserve">- </w:t>
      </w:r>
      <w:r w:rsidR="008212AE" w:rsidRPr="008B36B6">
        <w:rPr>
          <w:b/>
          <w:bCs/>
          <w:iCs/>
          <w:szCs w:val="22"/>
        </w:rPr>
        <w:t>202</w:t>
      </w:r>
      <w:r w:rsidR="002A102C" w:rsidRPr="008B36B6">
        <w:rPr>
          <w:b/>
          <w:bCs/>
          <w:iCs/>
          <w:szCs w:val="22"/>
        </w:rPr>
        <w:t>2</w:t>
      </w:r>
      <w:r w:rsidR="008212AE" w:rsidRPr="008B36B6">
        <w:rPr>
          <w:b/>
          <w:bCs/>
          <w:iCs/>
          <w:szCs w:val="22"/>
        </w:rPr>
        <w:t>-20</w:t>
      </w:r>
      <w:r w:rsidR="002A102C" w:rsidRPr="008B36B6">
        <w:rPr>
          <w:b/>
          <w:bCs/>
          <w:iCs/>
          <w:szCs w:val="22"/>
        </w:rPr>
        <w:t>25</w:t>
      </w:r>
      <w:r w:rsidR="008212AE" w:rsidRPr="008B36B6">
        <w:rPr>
          <w:iCs/>
          <w:szCs w:val="22"/>
        </w:rPr>
        <w:t xml:space="preserve"> </w:t>
      </w:r>
      <w:r w:rsidR="002A102C" w:rsidRPr="008B36B6">
        <w:rPr>
          <w:iCs/>
          <w:szCs w:val="22"/>
        </w:rPr>
        <w:t>ANR Throne, Awake stroke and functional in vivo brain imaging, PI, Euro. 420.000</w:t>
      </w:r>
    </w:p>
    <w:p w14:paraId="0A5C9507" w14:textId="77777777" w:rsidR="00087E80" w:rsidRPr="002A102C" w:rsidRDefault="00087E80" w:rsidP="008B36B6">
      <w:pPr>
        <w:pStyle w:val="DataField11pt-Single"/>
        <w:jc w:val="both"/>
        <w:rPr>
          <w:b/>
          <w:bCs/>
          <w:szCs w:val="22"/>
        </w:rPr>
      </w:pPr>
    </w:p>
    <w:p w14:paraId="309389AF" w14:textId="1FFAABE7" w:rsidR="002A102C" w:rsidRPr="008B36B6" w:rsidRDefault="00E86974" w:rsidP="008B36B6">
      <w:pPr>
        <w:pStyle w:val="DataField11pt-Single"/>
        <w:numPr>
          <w:ilvl w:val="0"/>
          <w:numId w:val="23"/>
        </w:numPr>
        <w:ind w:left="284" w:hanging="284"/>
        <w:jc w:val="both"/>
        <w:rPr>
          <w:b/>
          <w:bCs/>
          <w:szCs w:val="22"/>
        </w:rPr>
      </w:pPr>
      <w:r w:rsidRPr="002A102C">
        <w:rPr>
          <w:b/>
          <w:bCs/>
          <w:szCs w:val="22"/>
        </w:rPr>
        <w:t xml:space="preserve">Previous experience in collaborative </w:t>
      </w:r>
      <w:r w:rsidR="002A102C" w:rsidRPr="002A102C">
        <w:rPr>
          <w:b/>
          <w:bCs/>
          <w:szCs w:val="22"/>
        </w:rPr>
        <w:t>research</w:t>
      </w:r>
      <w:r w:rsidR="008B36B6">
        <w:rPr>
          <w:b/>
          <w:bCs/>
          <w:szCs w:val="22"/>
        </w:rPr>
        <w:t xml:space="preserve"> - </w:t>
      </w:r>
      <w:r w:rsidR="002A102C" w:rsidRPr="008B36B6">
        <w:rPr>
          <w:b/>
          <w:bCs/>
          <w:color w:val="000000"/>
          <w:szCs w:val="22"/>
        </w:rPr>
        <w:t>2010-2</w:t>
      </w:r>
      <w:r w:rsidR="002A102C" w:rsidRPr="008B36B6">
        <w:rPr>
          <w:b/>
          <w:bCs/>
          <w:color w:val="000000"/>
          <w:szCs w:val="22"/>
        </w:rPr>
        <w:t>4</w:t>
      </w:r>
      <w:r w:rsidR="002A102C" w:rsidRPr="008B36B6">
        <w:rPr>
          <w:b/>
          <w:bCs/>
          <w:color w:val="000000"/>
          <w:szCs w:val="22"/>
        </w:rPr>
        <w:t>:</w:t>
      </w:r>
      <w:r w:rsidR="002A102C" w:rsidRPr="008B36B6">
        <w:rPr>
          <w:color w:val="000000"/>
          <w:szCs w:val="22"/>
        </w:rPr>
        <w:t xml:space="preserve">  - 1</w:t>
      </w:r>
      <w:r w:rsidR="002A102C" w:rsidRPr="008B36B6">
        <w:rPr>
          <w:color w:val="000000"/>
          <w:szCs w:val="22"/>
        </w:rPr>
        <w:t>9</w:t>
      </w:r>
      <w:r w:rsidR="002A102C" w:rsidRPr="008B36B6">
        <w:rPr>
          <w:color w:val="000000"/>
          <w:szCs w:val="22"/>
        </w:rPr>
        <w:t xml:space="preserve"> ANR contracts, 1</w:t>
      </w:r>
      <w:r w:rsidR="002A102C" w:rsidRPr="008B36B6">
        <w:rPr>
          <w:color w:val="000000"/>
          <w:szCs w:val="22"/>
        </w:rPr>
        <w:t>2</w:t>
      </w:r>
      <w:r w:rsidR="002A102C" w:rsidRPr="008B36B6">
        <w:rPr>
          <w:color w:val="000000"/>
          <w:szCs w:val="22"/>
        </w:rPr>
        <w:t xml:space="preserve"> with PI from Vivien’s lab; </w:t>
      </w:r>
      <w:r w:rsidR="002A102C" w:rsidRPr="008B36B6">
        <w:rPr>
          <w:b/>
          <w:bCs/>
          <w:color w:val="000000"/>
          <w:szCs w:val="22"/>
        </w:rPr>
        <w:t>2020-2</w:t>
      </w:r>
      <w:r w:rsidR="002A102C" w:rsidRPr="008B36B6">
        <w:rPr>
          <w:b/>
          <w:bCs/>
          <w:color w:val="000000"/>
          <w:szCs w:val="22"/>
        </w:rPr>
        <w:t>4</w:t>
      </w:r>
      <w:r w:rsidR="002A102C" w:rsidRPr="008B36B6">
        <w:rPr>
          <w:color w:val="000000"/>
          <w:szCs w:val="22"/>
        </w:rPr>
        <w:t xml:space="preserve">.  - Partner H2020 program, </w:t>
      </w:r>
      <w:proofErr w:type="spellStart"/>
      <w:r w:rsidR="002A102C" w:rsidRPr="008B36B6">
        <w:rPr>
          <w:color w:val="000000"/>
          <w:szCs w:val="22"/>
        </w:rPr>
        <w:t>NeuroAtlantic</w:t>
      </w:r>
      <w:proofErr w:type="spellEnd"/>
      <w:r w:rsidR="002A102C" w:rsidRPr="008B36B6">
        <w:rPr>
          <w:color w:val="000000"/>
          <w:szCs w:val="22"/>
        </w:rPr>
        <w:t xml:space="preserve">, </w:t>
      </w:r>
      <w:r w:rsidR="002A102C" w:rsidRPr="008B36B6">
        <w:rPr>
          <w:color w:val="333333"/>
          <w:szCs w:val="22"/>
          <w:lang w:eastAsia="fr-FR"/>
        </w:rPr>
        <w:t xml:space="preserve">An Atlantic innovation platform on diagnosis and treatment of neurological diseases and aging - Partner, H2020, International Marie Curie Training Network, ENTRAIN, Neuroinflammation; </w:t>
      </w:r>
      <w:r w:rsidR="002A102C" w:rsidRPr="008B36B6">
        <w:rPr>
          <w:b/>
          <w:bCs/>
          <w:color w:val="333333"/>
          <w:szCs w:val="22"/>
          <w:lang w:eastAsia="fr-FR"/>
        </w:rPr>
        <w:t>2020-25</w:t>
      </w:r>
      <w:r w:rsidR="002A102C" w:rsidRPr="008B36B6">
        <w:rPr>
          <w:color w:val="333333"/>
          <w:szCs w:val="22"/>
          <w:lang w:eastAsia="fr-FR"/>
        </w:rPr>
        <w:t xml:space="preserve">   - Partner RHU, “Booster” Acute phase of stroke, including a clinical trial on N-Acetyl-Cysteine (NAC), a program initiated from our own fundamental research (Circulation, 2017); </w:t>
      </w:r>
      <w:r w:rsidR="002A102C" w:rsidRPr="008B36B6">
        <w:rPr>
          <w:b/>
          <w:bCs/>
          <w:szCs w:val="22"/>
        </w:rPr>
        <w:t>2020-25</w:t>
      </w:r>
      <w:r w:rsidR="002A102C" w:rsidRPr="008B36B6">
        <w:rPr>
          <w:szCs w:val="22"/>
        </w:rPr>
        <w:t xml:space="preserve">   - Partner H2020: </w:t>
      </w:r>
      <w:proofErr w:type="spellStart"/>
      <w:r w:rsidR="002A102C" w:rsidRPr="008B36B6">
        <w:rPr>
          <w:szCs w:val="22"/>
        </w:rPr>
        <w:t>Euronanomed</w:t>
      </w:r>
      <w:proofErr w:type="spellEnd"/>
      <w:r w:rsidR="002A102C" w:rsidRPr="008B36B6">
        <w:rPr>
          <w:szCs w:val="22"/>
        </w:rPr>
        <w:t xml:space="preserve"> III, PLATMED Improving fibrinolysis for stroke. JPND 2023 Rebalance </w:t>
      </w:r>
      <w:proofErr w:type="spellStart"/>
      <w:r w:rsidR="002A102C" w:rsidRPr="008B36B6">
        <w:rPr>
          <w:szCs w:val="22"/>
        </w:rPr>
        <w:t>fUS</w:t>
      </w:r>
      <w:proofErr w:type="spellEnd"/>
      <w:r w:rsidR="002A102C" w:rsidRPr="008B36B6">
        <w:rPr>
          <w:szCs w:val="22"/>
        </w:rPr>
        <w:t xml:space="preserve"> and piezo receptors, </w:t>
      </w:r>
      <w:proofErr w:type="spellStart"/>
      <w:r w:rsidR="002A102C" w:rsidRPr="008B36B6">
        <w:rPr>
          <w:szCs w:val="22"/>
        </w:rPr>
        <w:t>Eranet</w:t>
      </w:r>
      <w:proofErr w:type="spellEnd"/>
      <w:r w:rsidR="002A102C" w:rsidRPr="008B36B6">
        <w:rPr>
          <w:szCs w:val="22"/>
        </w:rPr>
        <w:t xml:space="preserve">-Neuron 2022 </w:t>
      </w:r>
      <w:proofErr w:type="spellStart"/>
      <w:r w:rsidR="002A102C" w:rsidRPr="008B36B6">
        <w:rPr>
          <w:szCs w:val="22"/>
        </w:rPr>
        <w:t>MeniSPY</w:t>
      </w:r>
      <w:proofErr w:type="spellEnd"/>
      <w:r w:rsidR="002A102C" w:rsidRPr="008B36B6">
        <w:rPr>
          <w:szCs w:val="22"/>
        </w:rPr>
        <w:t xml:space="preserve"> as PI. </w:t>
      </w:r>
    </w:p>
    <w:p w14:paraId="589BAECC" w14:textId="6DB683CE" w:rsidR="00F10D5C" w:rsidRDefault="00F10D5C">
      <w:pPr>
        <w:pStyle w:val="DataField11pt-Single"/>
        <w:rPr>
          <w:szCs w:val="22"/>
        </w:rPr>
      </w:pPr>
    </w:p>
    <w:p w14:paraId="400DFFD9" w14:textId="77777777" w:rsidR="00AC765F" w:rsidRPr="00AC765F" w:rsidRDefault="00AC765F" w:rsidP="00AC765F"/>
    <w:p w14:paraId="1803F317" w14:textId="6A91772B" w:rsidR="00AC765F" w:rsidRPr="00AC765F" w:rsidRDefault="00AC765F" w:rsidP="00AC765F">
      <w:pPr>
        <w:tabs>
          <w:tab w:val="left" w:pos="1184"/>
        </w:tabs>
      </w:pPr>
      <w:r>
        <w:tab/>
      </w:r>
    </w:p>
    <w:sectPr w:rsidR="00AC765F" w:rsidRPr="00AC765F" w:rsidSect="00E86974">
      <w:footerReference w:type="default" r:id="rId10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E50F" w14:textId="77777777" w:rsidR="00AD3C0B" w:rsidRDefault="00AD3C0B">
      <w:r>
        <w:separator/>
      </w:r>
    </w:p>
  </w:endnote>
  <w:endnote w:type="continuationSeparator" w:id="0">
    <w:p w14:paraId="79433D74" w14:textId="77777777" w:rsidR="00AD3C0B" w:rsidRDefault="00AD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3564" w14:textId="77777777" w:rsidR="00E86974" w:rsidRDefault="00E86974">
    <w:pPr>
      <w:pStyle w:val="Form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97B7" w14:textId="77777777" w:rsidR="00E86974" w:rsidRDefault="00E86974">
    <w:pPr>
      <w:pStyle w:val="FormFooterBorder"/>
    </w:pPr>
    <w:r>
      <w:t>PHS 398/2590 (Rev. 09/04)</w:t>
    </w:r>
    <w:r>
      <w:tab/>
      <w:t xml:space="preserve">Page </w:t>
    </w:r>
    <w:r>
      <w:rPr>
        <w:rStyle w:val="Numrodepage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E378" w14:textId="64AD7728" w:rsidR="00E86974" w:rsidRPr="00C4536F" w:rsidRDefault="00E86974">
    <w:pPr>
      <w:pStyle w:val="FormFooterBorder"/>
      <w:rPr>
        <w:lang w:val="fr-FR"/>
      </w:rPr>
    </w:pPr>
    <w:r w:rsidRPr="00C4536F">
      <w:rPr>
        <w:lang w:val="fr-FR"/>
      </w:rPr>
      <w:tab/>
      <w:t xml:space="preserve">Page </w:t>
    </w:r>
    <w:r w:rsidR="00243B99">
      <w:rPr>
        <w:lang w:val="fr-FR"/>
      </w:rPr>
      <w:t>2</w:t>
    </w:r>
    <w:r w:rsidRPr="00C4536F">
      <w:rPr>
        <w:lang w:val="fr-FR"/>
      </w:rPr>
      <w:tab/>
    </w:r>
    <w:r w:rsidRPr="00C4536F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EF4D" w14:textId="77777777" w:rsidR="00AD3C0B" w:rsidRDefault="00AD3C0B">
      <w:r>
        <w:separator/>
      </w:r>
    </w:p>
  </w:footnote>
  <w:footnote w:type="continuationSeparator" w:id="0">
    <w:p w14:paraId="19BF73C1" w14:textId="77777777" w:rsidR="00AD3C0B" w:rsidRDefault="00AD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86974" w14:paraId="3B869C8C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2E4CA6A1" w14:textId="77777777" w:rsidR="00E86974" w:rsidRDefault="00E86974" w:rsidP="00E86974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DA12EA0" w14:textId="77777777" w:rsidR="00E86974" w:rsidRDefault="00E86974" w:rsidP="00E86974">
          <w:pPr>
            <w:pStyle w:val="DataField11pt-Single"/>
          </w:pPr>
        </w:p>
      </w:tc>
    </w:tr>
  </w:tbl>
  <w:p w14:paraId="36307A55" w14:textId="77777777" w:rsidR="00E86974" w:rsidRDefault="00E86974">
    <w:pPr>
      <w:pStyle w:val="En-tte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623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6ED7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D009D2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448867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C6EE5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B86BCA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25B4CBE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D1761C7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C1DCA67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02B2C3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35A53CA"/>
    <w:multiLevelType w:val="hybridMultilevel"/>
    <w:tmpl w:val="62585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F5D26"/>
    <w:multiLevelType w:val="hybridMultilevel"/>
    <w:tmpl w:val="F2D22396"/>
    <w:lvl w:ilvl="0" w:tplc="816A66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257B4"/>
    <w:multiLevelType w:val="multilevel"/>
    <w:tmpl w:val="B1128372"/>
    <w:lvl w:ilvl="0">
      <w:start w:val="199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0752166C"/>
    <w:multiLevelType w:val="hybridMultilevel"/>
    <w:tmpl w:val="14B83EA8"/>
    <w:lvl w:ilvl="0" w:tplc="0E1C93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6674E"/>
    <w:multiLevelType w:val="hybridMultilevel"/>
    <w:tmpl w:val="1F1C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1396D"/>
    <w:multiLevelType w:val="multilevel"/>
    <w:tmpl w:val="86D28A98"/>
    <w:lvl w:ilvl="0">
      <w:start w:val="1993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1994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19D2420B"/>
    <w:multiLevelType w:val="multilevel"/>
    <w:tmpl w:val="B532E036"/>
    <w:lvl w:ilvl="0">
      <w:start w:val="2014"/>
      <w:numFmt w:val="decimal"/>
      <w:lvlText w:val="%1"/>
      <w:lvlJc w:val="left"/>
      <w:pPr>
        <w:ind w:left="1060" w:hanging="1060"/>
      </w:pPr>
      <w:rPr>
        <w:rFonts w:eastAsia="Calibri" w:hint="default"/>
        <w:b w:val="0"/>
      </w:rPr>
    </w:lvl>
    <w:lvl w:ilvl="1">
      <w:start w:val="2017"/>
      <w:numFmt w:val="decimal"/>
      <w:lvlText w:val="%1-%2"/>
      <w:lvlJc w:val="left"/>
      <w:pPr>
        <w:ind w:left="4463" w:hanging="106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9" w15:restartNumberingAfterBreak="0">
    <w:nsid w:val="1E9E5D32"/>
    <w:multiLevelType w:val="hybridMultilevel"/>
    <w:tmpl w:val="FBD837AE"/>
    <w:lvl w:ilvl="0" w:tplc="596CFF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330A0"/>
    <w:multiLevelType w:val="hybridMultilevel"/>
    <w:tmpl w:val="8538447E"/>
    <w:lvl w:ilvl="0" w:tplc="065EB5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E391D"/>
    <w:multiLevelType w:val="multilevel"/>
    <w:tmpl w:val="8CB47C04"/>
    <w:lvl w:ilvl="0">
      <w:start w:val="2004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51F2738"/>
    <w:multiLevelType w:val="multilevel"/>
    <w:tmpl w:val="B0FC519E"/>
    <w:lvl w:ilvl="0">
      <w:start w:val="200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8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68F272C"/>
    <w:multiLevelType w:val="multilevel"/>
    <w:tmpl w:val="E3469486"/>
    <w:lvl w:ilvl="0">
      <w:start w:val="2001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16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9382BAB"/>
    <w:multiLevelType w:val="hybridMultilevel"/>
    <w:tmpl w:val="3F9CABFA"/>
    <w:lvl w:ilvl="0" w:tplc="1284C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067CD"/>
    <w:multiLevelType w:val="hybridMultilevel"/>
    <w:tmpl w:val="DCC060E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FAB0C72"/>
    <w:multiLevelType w:val="hybridMultilevel"/>
    <w:tmpl w:val="172C65FE"/>
    <w:lvl w:ilvl="0" w:tplc="3D043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0EF2"/>
    <w:multiLevelType w:val="hybridMultilevel"/>
    <w:tmpl w:val="2CF0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185D"/>
    <w:multiLevelType w:val="hybridMultilevel"/>
    <w:tmpl w:val="2CF08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4D75"/>
    <w:multiLevelType w:val="hybridMultilevel"/>
    <w:tmpl w:val="B33C8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436EA"/>
    <w:multiLevelType w:val="hybridMultilevel"/>
    <w:tmpl w:val="EB56F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 w15:restartNumberingAfterBreak="0">
    <w:nsid w:val="782B5560"/>
    <w:multiLevelType w:val="multilevel"/>
    <w:tmpl w:val="F3FE21DC"/>
    <w:lvl w:ilvl="0">
      <w:start w:val="2014"/>
      <w:numFmt w:val="decimal"/>
      <w:lvlText w:val="%1"/>
      <w:lvlJc w:val="left"/>
      <w:pPr>
        <w:ind w:left="800" w:hanging="800"/>
      </w:pPr>
      <w:rPr>
        <w:rFonts w:eastAsia="Calibri" w:hint="default"/>
        <w:b w:val="0"/>
      </w:rPr>
    </w:lvl>
    <w:lvl w:ilvl="1">
      <w:start w:val="17"/>
      <w:numFmt w:val="decimal"/>
      <w:lvlText w:val="%1-%2"/>
      <w:lvlJc w:val="left"/>
      <w:pPr>
        <w:ind w:left="800" w:hanging="80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num w:numId="1" w16cid:durableId="1520505692">
    <w:abstractNumId w:val="10"/>
  </w:num>
  <w:num w:numId="2" w16cid:durableId="1871675038">
    <w:abstractNumId w:val="8"/>
  </w:num>
  <w:num w:numId="3" w16cid:durableId="1488013667">
    <w:abstractNumId w:val="7"/>
  </w:num>
  <w:num w:numId="4" w16cid:durableId="755908569">
    <w:abstractNumId w:val="6"/>
  </w:num>
  <w:num w:numId="5" w16cid:durableId="970089951">
    <w:abstractNumId w:val="5"/>
  </w:num>
  <w:num w:numId="6" w16cid:durableId="1574394184">
    <w:abstractNumId w:val="9"/>
  </w:num>
  <w:num w:numId="7" w16cid:durableId="1479953596">
    <w:abstractNumId w:val="4"/>
  </w:num>
  <w:num w:numId="8" w16cid:durableId="378478610">
    <w:abstractNumId w:val="3"/>
  </w:num>
  <w:num w:numId="9" w16cid:durableId="374086915">
    <w:abstractNumId w:val="2"/>
  </w:num>
  <w:num w:numId="10" w16cid:durableId="829101771">
    <w:abstractNumId w:val="1"/>
  </w:num>
  <w:num w:numId="11" w16cid:durableId="732630412">
    <w:abstractNumId w:val="1"/>
  </w:num>
  <w:num w:numId="12" w16cid:durableId="1675913257">
    <w:abstractNumId w:val="26"/>
  </w:num>
  <w:num w:numId="13" w16cid:durableId="1239945006">
    <w:abstractNumId w:val="17"/>
  </w:num>
  <w:num w:numId="14" w16cid:durableId="198276918">
    <w:abstractNumId w:val="32"/>
  </w:num>
  <w:num w:numId="15" w16cid:durableId="624509670">
    <w:abstractNumId w:val="30"/>
  </w:num>
  <w:num w:numId="16" w16cid:durableId="949632043">
    <w:abstractNumId w:val="0"/>
  </w:num>
  <w:num w:numId="17" w16cid:durableId="279924379">
    <w:abstractNumId w:val="31"/>
  </w:num>
  <w:num w:numId="18" w16cid:durableId="1726298628">
    <w:abstractNumId w:val="19"/>
  </w:num>
  <w:num w:numId="19" w16cid:durableId="1487892706">
    <w:abstractNumId w:val="28"/>
  </w:num>
  <w:num w:numId="20" w16cid:durableId="1703482706">
    <w:abstractNumId w:val="29"/>
  </w:num>
  <w:num w:numId="21" w16cid:durableId="327055194">
    <w:abstractNumId w:val="11"/>
  </w:num>
  <w:num w:numId="22" w16cid:durableId="2035378250">
    <w:abstractNumId w:val="27"/>
  </w:num>
  <w:num w:numId="23" w16cid:durableId="178280340">
    <w:abstractNumId w:val="12"/>
  </w:num>
  <w:num w:numId="24" w16cid:durableId="1003750466">
    <w:abstractNumId w:val="15"/>
  </w:num>
  <w:num w:numId="25" w16cid:durableId="610624728">
    <w:abstractNumId w:val="20"/>
  </w:num>
  <w:num w:numId="26" w16cid:durableId="93520207">
    <w:abstractNumId w:val="18"/>
  </w:num>
  <w:num w:numId="27" w16cid:durableId="923999590">
    <w:abstractNumId w:val="33"/>
  </w:num>
  <w:num w:numId="28" w16cid:durableId="1192187800">
    <w:abstractNumId w:val="22"/>
  </w:num>
  <w:num w:numId="29" w16cid:durableId="416481701">
    <w:abstractNumId w:val="21"/>
  </w:num>
  <w:num w:numId="30" w16cid:durableId="725030560">
    <w:abstractNumId w:val="23"/>
  </w:num>
  <w:num w:numId="31" w16cid:durableId="487480569">
    <w:abstractNumId w:val="13"/>
  </w:num>
  <w:num w:numId="32" w16cid:durableId="642540048">
    <w:abstractNumId w:val="16"/>
  </w:num>
  <w:num w:numId="33" w16cid:durableId="735199813">
    <w:abstractNumId w:val="24"/>
  </w:num>
  <w:num w:numId="34" w16cid:durableId="1790316584">
    <w:abstractNumId w:val="25"/>
  </w:num>
  <w:num w:numId="35" w16cid:durableId="889805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46D97"/>
    <w:rsid w:val="000544AB"/>
    <w:rsid w:val="0006023F"/>
    <w:rsid w:val="00071FD6"/>
    <w:rsid w:val="000877BC"/>
    <w:rsid w:val="00087E80"/>
    <w:rsid w:val="000E2501"/>
    <w:rsid w:val="000F2CA6"/>
    <w:rsid w:val="000F34A6"/>
    <w:rsid w:val="00102E03"/>
    <w:rsid w:val="001207EA"/>
    <w:rsid w:val="0012130F"/>
    <w:rsid w:val="001376F3"/>
    <w:rsid w:val="0017750F"/>
    <w:rsid w:val="001C408E"/>
    <w:rsid w:val="001C43B3"/>
    <w:rsid w:val="001D614A"/>
    <w:rsid w:val="001E2E6C"/>
    <w:rsid w:val="001F651B"/>
    <w:rsid w:val="00200EC2"/>
    <w:rsid w:val="00243B99"/>
    <w:rsid w:val="0024498C"/>
    <w:rsid w:val="00254863"/>
    <w:rsid w:val="00293D94"/>
    <w:rsid w:val="002A102C"/>
    <w:rsid w:val="002A1EAC"/>
    <w:rsid w:val="002B756D"/>
    <w:rsid w:val="002C61B8"/>
    <w:rsid w:val="002E4188"/>
    <w:rsid w:val="002E7C35"/>
    <w:rsid w:val="00320857"/>
    <w:rsid w:val="003639A9"/>
    <w:rsid w:val="003B0717"/>
    <w:rsid w:val="003C33A4"/>
    <w:rsid w:val="003F6A45"/>
    <w:rsid w:val="00406D48"/>
    <w:rsid w:val="00416B77"/>
    <w:rsid w:val="00425157"/>
    <w:rsid w:val="00442476"/>
    <w:rsid w:val="00456FF9"/>
    <w:rsid w:val="00487E41"/>
    <w:rsid w:val="004902DD"/>
    <w:rsid w:val="004A1D38"/>
    <w:rsid w:val="004B13CB"/>
    <w:rsid w:val="004E6F6F"/>
    <w:rsid w:val="0050371E"/>
    <w:rsid w:val="00562E32"/>
    <w:rsid w:val="0057565C"/>
    <w:rsid w:val="00585EC0"/>
    <w:rsid w:val="00591135"/>
    <w:rsid w:val="005A559A"/>
    <w:rsid w:val="005B0470"/>
    <w:rsid w:val="005D7220"/>
    <w:rsid w:val="006041D2"/>
    <w:rsid w:val="00647EEB"/>
    <w:rsid w:val="006555D6"/>
    <w:rsid w:val="006928B2"/>
    <w:rsid w:val="006E18ED"/>
    <w:rsid w:val="006E2E1E"/>
    <w:rsid w:val="006E300E"/>
    <w:rsid w:val="00703307"/>
    <w:rsid w:val="00762279"/>
    <w:rsid w:val="007655ED"/>
    <w:rsid w:val="00773910"/>
    <w:rsid w:val="00795B56"/>
    <w:rsid w:val="00795EEB"/>
    <w:rsid w:val="007A2E7B"/>
    <w:rsid w:val="007C1C1B"/>
    <w:rsid w:val="007D0B58"/>
    <w:rsid w:val="007E40FF"/>
    <w:rsid w:val="007E6042"/>
    <w:rsid w:val="00806988"/>
    <w:rsid w:val="00821221"/>
    <w:rsid w:val="008212AE"/>
    <w:rsid w:val="0083192F"/>
    <w:rsid w:val="008618C3"/>
    <w:rsid w:val="00866F29"/>
    <w:rsid w:val="00867902"/>
    <w:rsid w:val="008713B7"/>
    <w:rsid w:val="00877B2D"/>
    <w:rsid w:val="008B3285"/>
    <w:rsid w:val="008B36B6"/>
    <w:rsid w:val="008C2CFB"/>
    <w:rsid w:val="008F237A"/>
    <w:rsid w:val="009246EF"/>
    <w:rsid w:val="00931C3B"/>
    <w:rsid w:val="00934E42"/>
    <w:rsid w:val="00946049"/>
    <w:rsid w:val="0095747B"/>
    <w:rsid w:val="00982EA8"/>
    <w:rsid w:val="009D239F"/>
    <w:rsid w:val="009E7C20"/>
    <w:rsid w:val="00A20E00"/>
    <w:rsid w:val="00A425BC"/>
    <w:rsid w:val="00A624E5"/>
    <w:rsid w:val="00A73FD5"/>
    <w:rsid w:val="00A74A40"/>
    <w:rsid w:val="00AC23FB"/>
    <w:rsid w:val="00AC39E6"/>
    <w:rsid w:val="00AC765F"/>
    <w:rsid w:val="00AD3C0B"/>
    <w:rsid w:val="00B11AD7"/>
    <w:rsid w:val="00B470CB"/>
    <w:rsid w:val="00B7250C"/>
    <w:rsid w:val="00BF6E1A"/>
    <w:rsid w:val="00C12D1C"/>
    <w:rsid w:val="00C228E2"/>
    <w:rsid w:val="00C374DC"/>
    <w:rsid w:val="00CA612B"/>
    <w:rsid w:val="00CA6417"/>
    <w:rsid w:val="00CB136C"/>
    <w:rsid w:val="00D151D9"/>
    <w:rsid w:val="00D27509"/>
    <w:rsid w:val="00D61C13"/>
    <w:rsid w:val="00D96283"/>
    <w:rsid w:val="00DA5A09"/>
    <w:rsid w:val="00DC27B2"/>
    <w:rsid w:val="00DC6CD0"/>
    <w:rsid w:val="00DD5F31"/>
    <w:rsid w:val="00DE391B"/>
    <w:rsid w:val="00E05CE7"/>
    <w:rsid w:val="00E4605A"/>
    <w:rsid w:val="00E46415"/>
    <w:rsid w:val="00E86974"/>
    <w:rsid w:val="00EF069F"/>
    <w:rsid w:val="00EF6F56"/>
    <w:rsid w:val="00F10D5C"/>
    <w:rsid w:val="00F67628"/>
    <w:rsid w:val="00F765C2"/>
    <w:rsid w:val="00F91565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5702F"/>
  <w14:defaultImageDpi w14:val="300"/>
  <w15:chartTrackingRefBased/>
  <w15:docId w15:val="{46D656D2-E10E-E244-AA3D-9A28E77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epuces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epuces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epuces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epuces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enumros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enumros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enumros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enumros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enumros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Lienhypertexte">
    <w:name w:val="Hyperlink"/>
    <w:rsid w:val="00456FF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56F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28E2"/>
    <w:pPr>
      <w:ind w:left="720"/>
      <w:contextualSpacing/>
    </w:pPr>
  </w:style>
  <w:style w:type="character" w:styleId="Lienhypertextesuivivisit">
    <w:name w:val="FollowedHyperlink"/>
    <w:basedOn w:val="Policepardfaut"/>
    <w:rsid w:val="000F2CA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27509"/>
    <w:rPr>
      <w:i/>
      <w:iCs/>
    </w:rPr>
  </w:style>
  <w:style w:type="table" w:styleId="Grilledutableau">
    <w:name w:val="Table Grid"/>
    <w:basedOn w:val="TableauNormal"/>
    <w:rsid w:val="00D2750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27509"/>
    <w:rPr>
      <w:b/>
      <w:bCs/>
    </w:rPr>
  </w:style>
  <w:style w:type="character" w:customStyle="1" w:styleId="apple-converted-space">
    <w:name w:val="apple-converted-space"/>
    <w:basedOn w:val="Policepardfaut"/>
    <w:rsid w:val="002A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1278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 398 (Rev. 11/07), Biographical Sketch Format Page</vt:lpstr>
      <vt:lpstr>PHS 398 (Rev. 11/07), Biographical Sketch Format Page</vt:lpstr>
    </vt:vector>
  </TitlesOfParts>
  <Company>DHHS/PHS/NIH</Company>
  <LinksUpToDate>false</LinksUpToDate>
  <CharactersWithSpaces>8292</CharactersWithSpaces>
  <SharedDoc>false</SharedDoc>
  <HLinks>
    <vt:vector size="90" baseType="variant">
      <vt:variant>
        <vt:i4>524294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https://pubmed.ncbi.nlm.nih.gov/36278784/</vt:lpwstr>
      </vt:variant>
      <vt:variant>
        <vt:lpwstr/>
      </vt:variant>
      <vt:variant>
        <vt:i4>655369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917510</vt:i4>
      </vt:variant>
      <vt:variant>
        <vt:i4>36</vt:i4>
      </vt:variant>
      <vt:variant>
        <vt:i4>0</vt:i4>
      </vt:variant>
      <vt:variant>
        <vt:i4>5</vt:i4>
      </vt:variant>
      <vt:variant>
        <vt:lpwstr>https://pubmed.ncbi.nlm.nih.gov/33127441/</vt:lpwstr>
      </vt:variant>
      <vt:variant>
        <vt:lpwstr/>
      </vt:variant>
      <vt:variant>
        <vt:i4>720902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https://pubmed.ncbi.nlm.nih.gov/29581272/</vt:lpwstr>
      </vt:variant>
      <vt:variant>
        <vt:lpwstr/>
      </vt:variant>
      <vt:variant>
        <vt:i4>327694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https://pubmed.ncbi.nlm.nih.gov/24808139/</vt:lpwstr>
      </vt:variant>
      <vt:variant>
        <vt:lpwstr/>
      </vt:variant>
      <vt:variant>
        <vt:i4>589826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https://pubmed.ncbi.nlm.nih.gov/24233561/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https://pubmed.ncbi.nlm.nih.gov/23385200/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  <vt:variant>
        <vt:i4>655369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https://pubmed.ncbi.nlm.nih.gov/34483880/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11/07), Biographical Sketch Format Page</dc:title>
  <dc:subject>DHHS, Public Health Service Grant Application</dc:subject>
  <dc:creator>Office of Extramural Programs</dc:creator>
  <cp:keywords>PHS Grant Application, PHS 398 (Rev. 11/07), Biographical Sketch Format Page</cp:keywords>
  <dc:description/>
  <cp:lastModifiedBy>Microsoft Office User</cp:lastModifiedBy>
  <cp:revision>2</cp:revision>
  <cp:lastPrinted>2004-10-05T11:04:00Z</cp:lastPrinted>
  <dcterms:created xsi:type="dcterms:W3CDTF">2024-08-15T09:02:00Z</dcterms:created>
  <dcterms:modified xsi:type="dcterms:W3CDTF">2024-08-15T09:02:00Z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</Properties>
</file>