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E86974" w:rsidRPr="002A102C" w14:paraId="55056819" w14:textId="77777777">
        <w:trPr>
          <w:trHeight w:hRule="exact" w:val="979"/>
          <w:jc w:val="center"/>
        </w:trPr>
        <w:tc>
          <w:tcPr>
            <w:tcW w:w="10656" w:type="dxa"/>
            <w:gridSpan w:val="2"/>
            <w:tcBorders>
              <w:top w:val="single" w:sz="6" w:space="0" w:color="auto"/>
              <w:left w:val="nil"/>
              <w:bottom w:val="single" w:sz="6" w:space="0" w:color="auto"/>
              <w:right w:val="nil"/>
            </w:tcBorders>
            <w:vAlign w:val="bottom"/>
          </w:tcPr>
          <w:p w14:paraId="439C244F" w14:textId="77777777" w:rsidR="00E86974" w:rsidRPr="002A102C" w:rsidRDefault="00E86974">
            <w:pPr>
              <w:pStyle w:val="Titre1"/>
            </w:pPr>
            <w:r w:rsidRPr="002A102C">
              <w:t>BIOGRAPHICAL SKETCH</w:t>
            </w:r>
          </w:p>
          <w:p w14:paraId="5829C207" w14:textId="77777777" w:rsidR="00E86974" w:rsidRPr="002A102C" w:rsidRDefault="00E86974" w:rsidP="00E86974">
            <w:pPr>
              <w:pStyle w:val="HeadNoteNotItalics"/>
              <w:rPr>
                <w:sz w:val="22"/>
                <w:szCs w:val="22"/>
              </w:rPr>
            </w:pPr>
            <w:r w:rsidRPr="002A102C">
              <w:rPr>
                <w:sz w:val="22"/>
                <w:szCs w:val="22"/>
              </w:rPr>
              <w:t xml:space="preserve">Provide the following information for the proposed network coordinators and members </w:t>
            </w:r>
            <w:r w:rsidRPr="002A102C">
              <w:rPr>
                <w:sz w:val="22"/>
                <w:szCs w:val="22"/>
              </w:rPr>
              <w:br w:type="textWrapping" w:clear="all"/>
              <w:t xml:space="preserve">Follow this format for each person. </w:t>
            </w:r>
            <w:r w:rsidRPr="002A102C">
              <w:rPr>
                <w:b/>
                <w:bCs/>
                <w:sz w:val="22"/>
                <w:szCs w:val="22"/>
              </w:rPr>
              <w:t xml:space="preserve"> </w:t>
            </w:r>
          </w:p>
        </w:tc>
      </w:tr>
      <w:tr w:rsidR="00E86974" w:rsidRPr="002A102C" w14:paraId="40A82E8F" w14:textId="77777777">
        <w:trPr>
          <w:trHeight w:hRule="exact" w:val="216"/>
          <w:jc w:val="center"/>
        </w:trPr>
        <w:tc>
          <w:tcPr>
            <w:tcW w:w="10656" w:type="dxa"/>
            <w:gridSpan w:val="2"/>
            <w:tcBorders>
              <w:top w:val="single" w:sz="6" w:space="0" w:color="auto"/>
              <w:left w:val="nil"/>
              <w:bottom w:val="single" w:sz="6" w:space="0" w:color="auto"/>
              <w:right w:val="nil"/>
            </w:tcBorders>
          </w:tcPr>
          <w:p w14:paraId="4B7773F4" w14:textId="77777777" w:rsidR="00E86974" w:rsidRPr="002A102C" w:rsidRDefault="00E86974">
            <w:pPr>
              <w:jc w:val="center"/>
              <w:rPr>
                <w:rFonts w:ascii="Arial" w:hAnsi="Arial" w:cs="Arial"/>
                <w:sz w:val="22"/>
                <w:szCs w:val="22"/>
              </w:rPr>
            </w:pPr>
          </w:p>
        </w:tc>
      </w:tr>
      <w:tr w:rsidR="00E86974" w:rsidRPr="002A102C" w14:paraId="126DE687" w14:textId="77777777" w:rsidTr="00982EA8">
        <w:trPr>
          <w:trHeight w:val="214"/>
          <w:jc w:val="center"/>
        </w:trPr>
        <w:tc>
          <w:tcPr>
            <w:tcW w:w="5328" w:type="dxa"/>
            <w:tcBorders>
              <w:top w:val="single" w:sz="6" w:space="0" w:color="auto"/>
              <w:left w:val="nil"/>
              <w:bottom w:val="single" w:sz="6" w:space="0" w:color="auto"/>
              <w:right w:val="single" w:sz="6" w:space="0" w:color="auto"/>
            </w:tcBorders>
            <w:tcMar>
              <w:top w:w="14" w:type="dxa"/>
              <w:bottom w:w="14" w:type="dxa"/>
            </w:tcMar>
          </w:tcPr>
          <w:p w14:paraId="0F0EF267" w14:textId="77777777" w:rsidR="00E86974" w:rsidRPr="002A102C" w:rsidRDefault="00E86974">
            <w:pPr>
              <w:pStyle w:val="FormFieldCaption"/>
              <w:rPr>
                <w:sz w:val="22"/>
                <w:szCs w:val="22"/>
              </w:rPr>
            </w:pPr>
            <w:r w:rsidRPr="002A102C">
              <w:rPr>
                <w:sz w:val="22"/>
                <w:szCs w:val="22"/>
              </w:rPr>
              <w:t>NAME</w:t>
            </w:r>
          </w:p>
          <w:p w14:paraId="4B7613B6" w14:textId="2B71DC5E" w:rsidR="00E86974" w:rsidRPr="002A102C" w:rsidRDefault="00DD58CA">
            <w:pPr>
              <w:pStyle w:val="DataField11pt-Single"/>
              <w:rPr>
                <w:szCs w:val="22"/>
              </w:rPr>
            </w:pPr>
            <w:r>
              <w:rPr>
                <w:szCs w:val="22"/>
              </w:rPr>
              <w:t>ALI</w:t>
            </w:r>
            <w:r w:rsidR="00D27509" w:rsidRPr="002A102C">
              <w:rPr>
                <w:szCs w:val="22"/>
              </w:rPr>
              <w:t xml:space="preserve">, </w:t>
            </w:r>
            <w:r>
              <w:rPr>
                <w:szCs w:val="22"/>
              </w:rPr>
              <w:t>Carine</w:t>
            </w:r>
          </w:p>
        </w:tc>
        <w:tc>
          <w:tcPr>
            <w:tcW w:w="5328" w:type="dxa"/>
            <w:tcBorders>
              <w:top w:val="single" w:sz="6" w:space="0" w:color="auto"/>
              <w:left w:val="nil"/>
              <w:bottom w:val="single" w:sz="6" w:space="0" w:color="auto"/>
              <w:right w:val="nil"/>
            </w:tcBorders>
            <w:tcMar>
              <w:top w:w="14" w:type="dxa"/>
              <w:bottom w:w="14" w:type="dxa"/>
            </w:tcMar>
          </w:tcPr>
          <w:p w14:paraId="0BDF1319" w14:textId="77777777" w:rsidR="00E86974" w:rsidRPr="002A102C" w:rsidRDefault="00E86974">
            <w:pPr>
              <w:pStyle w:val="FormFieldCaption"/>
              <w:rPr>
                <w:sz w:val="22"/>
                <w:szCs w:val="22"/>
              </w:rPr>
            </w:pPr>
            <w:r w:rsidRPr="002A102C">
              <w:rPr>
                <w:sz w:val="22"/>
                <w:szCs w:val="22"/>
              </w:rPr>
              <w:t>POSITION TITLE</w:t>
            </w:r>
          </w:p>
          <w:p w14:paraId="07EC61BB" w14:textId="4A1FD159" w:rsidR="00E86974" w:rsidRPr="002A102C" w:rsidRDefault="00D27509">
            <w:pPr>
              <w:pStyle w:val="DataField11pt-Single"/>
              <w:rPr>
                <w:szCs w:val="22"/>
              </w:rPr>
            </w:pPr>
            <w:r w:rsidRPr="002A102C">
              <w:rPr>
                <w:szCs w:val="22"/>
              </w:rPr>
              <w:t xml:space="preserve">Full professor </w:t>
            </w:r>
          </w:p>
        </w:tc>
      </w:tr>
    </w:tbl>
    <w:p w14:paraId="2F8F393C" w14:textId="4D89768B" w:rsidR="00D27509" w:rsidRPr="002A102C" w:rsidRDefault="00D27509" w:rsidP="00D27509">
      <w:pPr>
        <w:pBdr>
          <w:between w:val="single" w:sz="4" w:space="1" w:color="auto"/>
        </w:pBdr>
        <w:tabs>
          <w:tab w:val="left" w:pos="270"/>
        </w:tabs>
        <w:spacing w:after="160"/>
        <w:ind w:firstLine="142"/>
        <w:rPr>
          <w:rFonts w:ascii="Arial" w:hAnsi="Arial" w:cs="Arial"/>
          <w:sz w:val="22"/>
          <w:szCs w:val="22"/>
        </w:rPr>
      </w:pPr>
    </w:p>
    <w:tbl>
      <w:tblPr>
        <w:tblStyle w:val="Grilledutableau"/>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130"/>
        <w:gridCol w:w="1530"/>
        <w:gridCol w:w="1584"/>
        <w:gridCol w:w="2592"/>
      </w:tblGrid>
      <w:tr w:rsidR="00D27509" w:rsidRPr="008B36B6" w14:paraId="29161B73" w14:textId="77777777" w:rsidTr="00D27509">
        <w:trPr>
          <w:cantSplit/>
          <w:tblHeader/>
        </w:trPr>
        <w:tc>
          <w:tcPr>
            <w:tcW w:w="5130" w:type="dxa"/>
            <w:tcBorders>
              <w:top w:val="single" w:sz="4" w:space="0" w:color="auto"/>
              <w:bottom w:val="single" w:sz="4" w:space="0" w:color="auto"/>
            </w:tcBorders>
            <w:vAlign w:val="center"/>
          </w:tcPr>
          <w:p w14:paraId="2493903C" w14:textId="77777777" w:rsidR="00D27509" w:rsidRPr="008B36B6" w:rsidRDefault="00D27509" w:rsidP="00FE6ED7">
            <w:pPr>
              <w:pStyle w:val="FormFieldCaption"/>
              <w:jc w:val="center"/>
              <w:rPr>
                <w:sz w:val="20"/>
                <w:szCs w:val="20"/>
              </w:rPr>
            </w:pPr>
            <w:r w:rsidRPr="008B36B6">
              <w:rPr>
                <w:sz w:val="20"/>
                <w:szCs w:val="20"/>
              </w:rPr>
              <w:t>INSTITUTION AND LOCATION</w:t>
            </w:r>
          </w:p>
        </w:tc>
        <w:tc>
          <w:tcPr>
            <w:tcW w:w="1530" w:type="dxa"/>
            <w:tcBorders>
              <w:top w:val="single" w:sz="4" w:space="0" w:color="auto"/>
              <w:bottom w:val="single" w:sz="4" w:space="0" w:color="auto"/>
            </w:tcBorders>
            <w:vAlign w:val="center"/>
          </w:tcPr>
          <w:p w14:paraId="4C1114AE" w14:textId="77777777" w:rsidR="00D27509" w:rsidRPr="008B36B6" w:rsidRDefault="00D27509" w:rsidP="00FE6ED7">
            <w:pPr>
              <w:pStyle w:val="FormFieldCaption"/>
              <w:jc w:val="center"/>
              <w:rPr>
                <w:sz w:val="20"/>
                <w:szCs w:val="20"/>
              </w:rPr>
            </w:pPr>
            <w:r w:rsidRPr="008B36B6">
              <w:rPr>
                <w:sz w:val="20"/>
                <w:szCs w:val="20"/>
              </w:rPr>
              <w:t>DEGREE</w:t>
            </w:r>
          </w:p>
          <w:p w14:paraId="46532A9B" w14:textId="77777777" w:rsidR="00D27509" w:rsidRPr="008B36B6" w:rsidRDefault="00D27509" w:rsidP="00FE6ED7">
            <w:pPr>
              <w:pStyle w:val="FormFieldCaption"/>
              <w:jc w:val="center"/>
              <w:rPr>
                <w:sz w:val="20"/>
                <w:szCs w:val="20"/>
              </w:rPr>
            </w:pPr>
            <w:r w:rsidRPr="008B36B6">
              <w:rPr>
                <w:rStyle w:val="Accentuation"/>
                <w:sz w:val="20"/>
                <w:szCs w:val="20"/>
              </w:rPr>
              <w:t>(if applicable)</w:t>
            </w:r>
          </w:p>
        </w:tc>
        <w:tc>
          <w:tcPr>
            <w:tcW w:w="1584" w:type="dxa"/>
            <w:tcBorders>
              <w:top w:val="single" w:sz="4" w:space="0" w:color="auto"/>
              <w:bottom w:val="single" w:sz="4" w:space="0" w:color="auto"/>
            </w:tcBorders>
            <w:vAlign w:val="center"/>
          </w:tcPr>
          <w:p w14:paraId="7F965C83" w14:textId="77777777" w:rsidR="00D27509" w:rsidRPr="008B36B6" w:rsidRDefault="00D27509" w:rsidP="00FE6ED7">
            <w:pPr>
              <w:pStyle w:val="FormFieldCaption"/>
              <w:jc w:val="center"/>
              <w:rPr>
                <w:sz w:val="20"/>
                <w:szCs w:val="20"/>
              </w:rPr>
            </w:pPr>
            <w:r w:rsidRPr="008B36B6">
              <w:rPr>
                <w:sz w:val="20"/>
                <w:szCs w:val="20"/>
              </w:rPr>
              <w:t>Completion Date</w:t>
            </w:r>
          </w:p>
          <w:p w14:paraId="4668167C" w14:textId="77777777" w:rsidR="00D27509" w:rsidRPr="008B36B6" w:rsidRDefault="00D27509" w:rsidP="00FE6ED7">
            <w:pPr>
              <w:pStyle w:val="FormFieldCaption"/>
              <w:jc w:val="center"/>
              <w:rPr>
                <w:sz w:val="20"/>
                <w:szCs w:val="20"/>
              </w:rPr>
            </w:pPr>
            <w:r w:rsidRPr="008B36B6">
              <w:rPr>
                <w:sz w:val="20"/>
                <w:szCs w:val="20"/>
              </w:rPr>
              <w:t>MM/YYYY</w:t>
            </w:r>
          </w:p>
        </w:tc>
        <w:tc>
          <w:tcPr>
            <w:tcW w:w="2592" w:type="dxa"/>
            <w:tcBorders>
              <w:top w:val="single" w:sz="4" w:space="0" w:color="auto"/>
              <w:bottom w:val="single" w:sz="4" w:space="0" w:color="auto"/>
            </w:tcBorders>
            <w:vAlign w:val="center"/>
          </w:tcPr>
          <w:p w14:paraId="2233677E" w14:textId="77777777" w:rsidR="00D27509" w:rsidRPr="008B36B6" w:rsidRDefault="00D27509" w:rsidP="00FE6ED7">
            <w:pPr>
              <w:pStyle w:val="FormFieldCaption"/>
              <w:jc w:val="center"/>
              <w:rPr>
                <w:sz w:val="20"/>
                <w:szCs w:val="20"/>
              </w:rPr>
            </w:pPr>
            <w:r w:rsidRPr="008B36B6">
              <w:rPr>
                <w:sz w:val="20"/>
                <w:szCs w:val="20"/>
              </w:rPr>
              <w:t>FIELD OF STUDY</w:t>
            </w:r>
          </w:p>
        </w:tc>
      </w:tr>
      <w:tr w:rsidR="00DD58CA" w:rsidRPr="008B36B6" w14:paraId="236A0F4B" w14:textId="77777777" w:rsidTr="008A5F52">
        <w:trPr>
          <w:cantSplit/>
          <w:trHeight w:val="395"/>
        </w:trPr>
        <w:tc>
          <w:tcPr>
            <w:tcW w:w="5130" w:type="dxa"/>
            <w:tcBorders>
              <w:top w:val="single" w:sz="4" w:space="0" w:color="auto"/>
            </w:tcBorders>
            <w:vAlign w:val="center"/>
          </w:tcPr>
          <w:p w14:paraId="5027D9FA" w14:textId="2E990167" w:rsidR="00DD58CA" w:rsidRPr="008B36B6" w:rsidRDefault="00DD58CA" w:rsidP="00DD58CA">
            <w:pPr>
              <w:pStyle w:val="DataField11pt-Single"/>
              <w:jc w:val="both"/>
              <w:rPr>
                <w:sz w:val="20"/>
              </w:rPr>
            </w:pPr>
            <w:r w:rsidRPr="00DD58CA">
              <w:rPr>
                <w:sz w:val="20"/>
              </w:rPr>
              <w:t>University of Caen, France</w:t>
            </w:r>
          </w:p>
        </w:tc>
        <w:tc>
          <w:tcPr>
            <w:tcW w:w="1530" w:type="dxa"/>
            <w:tcBorders>
              <w:top w:val="single" w:sz="4" w:space="0" w:color="auto"/>
            </w:tcBorders>
            <w:vAlign w:val="center"/>
          </w:tcPr>
          <w:p w14:paraId="23E22570" w14:textId="77777777" w:rsidR="00DD58CA" w:rsidRPr="008B36B6" w:rsidRDefault="00DD58CA" w:rsidP="00DD58CA">
            <w:pPr>
              <w:pStyle w:val="DataField11pt-Single"/>
              <w:jc w:val="center"/>
              <w:rPr>
                <w:sz w:val="20"/>
              </w:rPr>
            </w:pPr>
            <w:r w:rsidRPr="008B36B6">
              <w:rPr>
                <w:sz w:val="20"/>
              </w:rPr>
              <w:t>PhD</w:t>
            </w:r>
          </w:p>
        </w:tc>
        <w:tc>
          <w:tcPr>
            <w:tcW w:w="1584" w:type="dxa"/>
            <w:tcBorders>
              <w:top w:val="single" w:sz="4" w:space="0" w:color="auto"/>
            </w:tcBorders>
            <w:vAlign w:val="center"/>
          </w:tcPr>
          <w:p w14:paraId="35C2F675" w14:textId="7E460473" w:rsidR="00DD58CA" w:rsidRPr="008B36B6" w:rsidRDefault="00DD58CA" w:rsidP="00DD58CA">
            <w:pPr>
              <w:pStyle w:val="DataField11pt-Single"/>
              <w:jc w:val="center"/>
              <w:rPr>
                <w:sz w:val="20"/>
              </w:rPr>
            </w:pPr>
            <w:r>
              <w:rPr>
                <w:sz w:val="20"/>
              </w:rPr>
              <w:t>2000</w:t>
            </w:r>
          </w:p>
        </w:tc>
        <w:tc>
          <w:tcPr>
            <w:tcW w:w="2592" w:type="dxa"/>
            <w:tcBorders>
              <w:top w:val="single" w:sz="4" w:space="0" w:color="auto"/>
            </w:tcBorders>
          </w:tcPr>
          <w:p w14:paraId="1375A5E5" w14:textId="6688D354" w:rsidR="00DD58CA" w:rsidRPr="008B36B6" w:rsidRDefault="00DD58CA" w:rsidP="00DD58CA">
            <w:pPr>
              <w:pStyle w:val="DataField11pt-Single"/>
              <w:rPr>
                <w:sz w:val="20"/>
              </w:rPr>
            </w:pPr>
            <w:r w:rsidRPr="00F34477">
              <w:rPr>
                <w:sz w:val="20"/>
              </w:rPr>
              <w:t>Neurosciences</w:t>
            </w:r>
          </w:p>
        </w:tc>
      </w:tr>
      <w:tr w:rsidR="00DD58CA" w:rsidRPr="008B36B6" w14:paraId="14B55A52" w14:textId="77777777" w:rsidTr="008A5F52">
        <w:trPr>
          <w:cantSplit/>
          <w:trHeight w:val="395"/>
        </w:trPr>
        <w:tc>
          <w:tcPr>
            <w:tcW w:w="5130" w:type="dxa"/>
            <w:vAlign w:val="center"/>
          </w:tcPr>
          <w:p w14:paraId="69C4070A" w14:textId="77777777" w:rsidR="00DD58CA" w:rsidRDefault="00DD58CA" w:rsidP="00DD58CA">
            <w:pPr>
              <w:pStyle w:val="DataField11pt-Single"/>
              <w:jc w:val="both"/>
              <w:rPr>
                <w:sz w:val="20"/>
              </w:rPr>
            </w:pPr>
            <w:r w:rsidRPr="00DD58CA">
              <w:rPr>
                <w:sz w:val="20"/>
              </w:rPr>
              <w:t xml:space="preserve">Instituto </w:t>
            </w:r>
            <w:proofErr w:type="spellStart"/>
            <w:r w:rsidRPr="00DD58CA">
              <w:rPr>
                <w:sz w:val="20"/>
              </w:rPr>
              <w:t>Cajal</w:t>
            </w:r>
            <w:proofErr w:type="spellEnd"/>
            <w:r w:rsidRPr="00DD58CA">
              <w:rPr>
                <w:sz w:val="20"/>
              </w:rPr>
              <w:t>, Madrid, Spain</w:t>
            </w:r>
          </w:p>
          <w:p w14:paraId="67F20382" w14:textId="77777777" w:rsidR="00DD58CA" w:rsidRDefault="00DD58CA" w:rsidP="00DD58CA">
            <w:pPr>
              <w:pStyle w:val="DataField11pt-Single"/>
              <w:jc w:val="both"/>
              <w:rPr>
                <w:sz w:val="20"/>
              </w:rPr>
            </w:pPr>
            <w:r w:rsidRPr="00DD58CA">
              <w:rPr>
                <w:sz w:val="20"/>
              </w:rPr>
              <w:t>University of Manchester, UK</w:t>
            </w:r>
          </w:p>
          <w:p w14:paraId="7D06347A" w14:textId="77777777" w:rsidR="00DD58CA" w:rsidRDefault="00DD58CA" w:rsidP="00DD58CA">
            <w:pPr>
              <w:pStyle w:val="DataField11pt-Single"/>
              <w:jc w:val="both"/>
              <w:rPr>
                <w:sz w:val="20"/>
              </w:rPr>
            </w:pPr>
            <w:r w:rsidRPr="008B36B6">
              <w:rPr>
                <w:sz w:val="20"/>
              </w:rPr>
              <w:t>Caen Normandy University (France)</w:t>
            </w:r>
          </w:p>
          <w:p w14:paraId="214C06A4" w14:textId="77777777" w:rsidR="00DD58CA" w:rsidRDefault="00DD58CA" w:rsidP="00DD58CA">
            <w:pPr>
              <w:pStyle w:val="DataField11pt-Single"/>
              <w:jc w:val="both"/>
              <w:rPr>
                <w:sz w:val="20"/>
              </w:rPr>
            </w:pPr>
            <w:r w:rsidRPr="008B36B6">
              <w:rPr>
                <w:sz w:val="20"/>
              </w:rPr>
              <w:t>Caen Normandy University (France)</w:t>
            </w:r>
          </w:p>
          <w:p w14:paraId="36D98690" w14:textId="60036352" w:rsidR="00DD58CA" w:rsidRPr="008B36B6" w:rsidRDefault="00DD58CA" w:rsidP="00DD58CA">
            <w:pPr>
              <w:pStyle w:val="DataField11pt-Single"/>
              <w:jc w:val="both"/>
              <w:rPr>
                <w:sz w:val="20"/>
              </w:rPr>
            </w:pPr>
          </w:p>
        </w:tc>
        <w:tc>
          <w:tcPr>
            <w:tcW w:w="1530" w:type="dxa"/>
            <w:vAlign w:val="center"/>
          </w:tcPr>
          <w:p w14:paraId="361FB136" w14:textId="77777777" w:rsidR="00DD58CA" w:rsidRDefault="00DD58CA" w:rsidP="00DD58CA">
            <w:pPr>
              <w:pStyle w:val="DataField11pt-Single"/>
              <w:jc w:val="center"/>
              <w:rPr>
                <w:sz w:val="20"/>
              </w:rPr>
            </w:pPr>
            <w:r w:rsidRPr="008B36B6">
              <w:rPr>
                <w:sz w:val="20"/>
              </w:rPr>
              <w:t>Postdoctoral</w:t>
            </w:r>
          </w:p>
          <w:p w14:paraId="058E259F" w14:textId="77777777" w:rsidR="00DD58CA" w:rsidRDefault="00DD58CA" w:rsidP="00DD58CA">
            <w:pPr>
              <w:pStyle w:val="DataField11pt-Single"/>
              <w:jc w:val="center"/>
              <w:rPr>
                <w:sz w:val="20"/>
              </w:rPr>
            </w:pPr>
            <w:r w:rsidRPr="008B36B6">
              <w:rPr>
                <w:sz w:val="20"/>
              </w:rPr>
              <w:t>Postdoctoral</w:t>
            </w:r>
          </w:p>
          <w:p w14:paraId="40B25B34" w14:textId="7C1DDF86" w:rsidR="00DD58CA" w:rsidRDefault="00DD58CA" w:rsidP="00DD58CA">
            <w:pPr>
              <w:pStyle w:val="DataField11pt-Single"/>
              <w:jc w:val="center"/>
              <w:rPr>
                <w:sz w:val="20"/>
              </w:rPr>
            </w:pPr>
            <w:r w:rsidRPr="00DD58CA">
              <w:rPr>
                <w:sz w:val="20"/>
              </w:rPr>
              <w:t>Assoc Prof, then lecturer</w:t>
            </w:r>
          </w:p>
          <w:p w14:paraId="520C25BE" w14:textId="4D7C2EE8" w:rsidR="00DD58CA" w:rsidRPr="008B36B6" w:rsidRDefault="00DD58CA" w:rsidP="00DD58CA">
            <w:pPr>
              <w:pStyle w:val="DataField11pt-Single"/>
              <w:jc w:val="center"/>
              <w:rPr>
                <w:sz w:val="20"/>
              </w:rPr>
            </w:pPr>
            <w:r>
              <w:rPr>
                <w:sz w:val="20"/>
              </w:rPr>
              <w:t>Professor</w:t>
            </w:r>
          </w:p>
        </w:tc>
        <w:tc>
          <w:tcPr>
            <w:tcW w:w="1584" w:type="dxa"/>
            <w:vAlign w:val="center"/>
          </w:tcPr>
          <w:p w14:paraId="6FF9EBC4" w14:textId="77777777" w:rsidR="00DD58CA" w:rsidRDefault="00DD58CA" w:rsidP="00DD58CA">
            <w:pPr>
              <w:pStyle w:val="FormFieldCaption"/>
              <w:spacing w:before="20" w:after="20"/>
              <w:jc w:val="center"/>
              <w:rPr>
                <w:sz w:val="20"/>
                <w:szCs w:val="20"/>
              </w:rPr>
            </w:pPr>
            <w:r>
              <w:rPr>
                <w:sz w:val="20"/>
                <w:szCs w:val="20"/>
              </w:rPr>
              <w:t>2000</w:t>
            </w:r>
          </w:p>
          <w:p w14:paraId="442839AF" w14:textId="77777777" w:rsidR="00DD58CA" w:rsidRDefault="00DD58CA" w:rsidP="00DD58CA">
            <w:pPr>
              <w:pStyle w:val="FormFieldCaption"/>
              <w:spacing w:before="20" w:after="20"/>
              <w:jc w:val="center"/>
              <w:rPr>
                <w:sz w:val="20"/>
                <w:szCs w:val="20"/>
              </w:rPr>
            </w:pPr>
            <w:r>
              <w:rPr>
                <w:sz w:val="20"/>
                <w:szCs w:val="20"/>
              </w:rPr>
              <w:t>2003</w:t>
            </w:r>
          </w:p>
          <w:p w14:paraId="62E07F96" w14:textId="77777777" w:rsidR="00DD58CA" w:rsidRDefault="00DD58CA" w:rsidP="00DD58CA">
            <w:pPr>
              <w:pStyle w:val="FormFieldCaption"/>
              <w:spacing w:before="20" w:after="20"/>
              <w:jc w:val="center"/>
              <w:rPr>
                <w:sz w:val="20"/>
                <w:szCs w:val="20"/>
              </w:rPr>
            </w:pPr>
            <w:r>
              <w:rPr>
                <w:sz w:val="20"/>
                <w:szCs w:val="20"/>
              </w:rPr>
              <w:t>2003-2011</w:t>
            </w:r>
          </w:p>
          <w:p w14:paraId="3710C549" w14:textId="28FDC63B" w:rsidR="00DD58CA" w:rsidRPr="008B36B6" w:rsidRDefault="00DD58CA" w:rsidP="00DD58CA">
            <w:pPr>
              <w:pStyle w:val="FormFieldCaption"/>
              <w:spacing w:before="20" w:after="20"/>
              <w:jc w:val="center"/>
              <w:rPr>
                <w:sz w:val="20"/>
                <w:szCs w:val="20"/>
              </w:rPr>
            </w:pPr>
            <w:r>
              <w:rPr>
                <w:sz w:val="20"/>
                <w:szCs w:val="20"/>
              </w:rPr>
              <w:t>Since 2011</w:t>
            </w:r>
          </w:p>
        </w:tc>
        <w:tc>
          <w:tcPr>
            <w:tcW w:w="2592" w:type="dxa"/>
          </w:tcPr>
          <w:p w14:paraId="423CF122" w14:textId="77777777" w:rsidR="00DD58CA" w:rsidRDefault="00DD58CA" w:rsidP="00DD58CA">
            <w:pPr>
              <w:pStyle w:val="DataField11pt-Single"/>
              <w:rPr>
                <w:sz w:val="20"/>
              </w:rPr>
            </w:pPr>
            <w:r w:rsidRPr="00F34477">
              <w:rPr>
                <w:sz w:val="20"/>
              </w:rPr>
              <w:t>Neurosciences</w:t>
            </w:r>
          </w:p>
          <w:p w14:paraId="3B1241F2" w14:textId="77777777" w:rsidR="00DD58CA" w:rsidRDefault="00DD58CA" w:rsidP="00DD58CA">
            <w:pPr>
              <w:pStyle w:val="DataField11pt-Single"/>
              <w:rPr>
                <w:sz w:val="20"/>
              </w:rPr>
            </w:pPr>
            <w:r w:rsidRPr="00F34477">
              <w:rPr>
                <w:sz w:val="20"/>
              </w:rPr>
              <w:t>Neurosciences</w:t>
            </w:r>
          </w:p>
          <w:p w14:paraId="671D0987" w14:textId="77777777" w:rsidR="00DD58CA" w:rsidRDefault="00DD58CA" w:rsidP="00DD58CA">
            <w:pPr>
              <w:pStyle w:val="DataField11pt-Single"/>
              <w:rPr>
                <w:sz w:val="20"/>
              </w:rPr>
            </w:pPr>
            <w:r w:rsidRPr="00F34477">
              <w:rPr>
                <w:sz w:val="20"/>
              </w:rPr>
              <w:t>Neurosciences</w:t>
            </w:r>
          </w:p>
          <w:p w14:paraId="6E345788" w14:textId="77777777" w:rsidR="00DD58CA" w:rsidRDefault="00DD58CA" w:rsidP="00DD58CA">
            <w:pPr>
              <w:pStyle w:val="DataField11pt-Single"/>
              <w:rPr>
                <w:sz w:val="20"/>
              </w:rPr>
            </w:pPr>
            <w:r w:rsidRPr="00F34477">
              <w:rPr>
                <w:sz w:val="20"/>
              </w:rPr>
              <w:t>Neurosciences</w:t>
            </w:r>
          </w:p>
          <w:p w14:paraId="196D6481" w14:textId="0CCA26BE" w:rsidR="00DD58CA" w:rsidRPr="008B36B6" w:rsidRDefault="00DD58CA" w:rsidP="00DD58CA">
            <w:pPr>
              <w:pStyle w:val="DataField11pt-Single"/>
              <w:rPr>
                <w:sz w:val="20"/>
              </w:rPr>
            </w:pPr>
          </w:p>
        </w:tc>
      </w:tr>
      <w:tr w:rsidR="00D27509" w:rsidRPr="008B36B6" w14:paraId="706E26F1" w14:textId="77777777" w:rsidTr="00D27509">
        <w:trPr>
          <w:cantSplit/>
          <w:trHeight w:val="395"/>
        </w:trPr>
        <w:tc>
          <w:tcPr>
            <w:tcW w:w="5130" w:type="dxa"/>
            <w:tcBorders>
              <w:top w:val="nil"/>
              <w:bottom w:val="single" w:sz="4" w:space="0" w:color="auto"/>
            </w:tcBorders>
          </w:tcPr>
          <w:p w14:paraId="0C56AAC6" w14:textId="77777777" w:rsidR="00D27509" w:rsidRPr="008B36B6" w:rsidRDefault="00D27509" w:rsidP="00FE6ED7">
            <w:pPr>
              <w:pStyle w:val="FormFieldCaption"/>
              <w:spacing w:before="20" w:after="20"/>
              <w:rPr>
                <w:sz w:val="20"/>
                <w:szCs w:val="20"/>
              </w:rPr>
            </w:pPr>
            <w:r w:rsidRPr="008B36B6">
              <w:rPr>
                <w:sz w:val="20"/>
                <w:szCs w:val="20"/>
              </w:rPr>
              <w:t>Caen Normandy University (France)</w:t>
            </w:r>
          </w:p>
        </w:tc>
        <w:tc>
          <w:tcPr>
            <w:tcW w:w="1530" w:type="dxa"/>
            <w:tcBorders>
              <w:top w:val="nil"/>
              <w:bottom w:val="single" w:sz="4" w:space="0" w:color="auto"/>
            </w:tcBorders>
            <w:vAlign w:val="center"/>
          </w:tcPr>
          <w:p w14:paraId="73E21D22" w14:textId="77777777" w:rsidR="00D27509" w:rsidRPr="008B36B6" w:rsidRDefault="00D27509" w:rsidP="00FE6ED7">
            <w:pPr>
              <w:pStyle w:val="DataField11pt-Single"/>
              <w:jc w:val="center"/>
              <w:rPr>
                <w:sz w:val="20"/>
              </w:rPr>
            </w:pPr>
            <w:r w:rsidRPr="008B36B6">
              <w:rPr>
                <w:sz w:val="20"/>
              </w:rPr>
              <w:t>HDR</w:t>
            </w:r>
          </w:p>
        </w:tc>
        <w:tc>
          <w:tcPr>
            <w:tcW w:w="1584" w:type="dxa"/>
            <w:tcBorders>
              <w:top w:val="nil"/>
              <w:bottom w:val="single" w:sz="4" w:space="0" w:color="auto"/>
            </w:tcBorders>
            <w:vAlign w:val="center"/>
          </w:tcPr>
          <w:p w14:paraId="44848BD3" w14:textId="4A78D5C0" w:rsidR="00D27509" w:rsidRPr="008B36B6" w:rsidRDefault="00DD58CA" w:rsidP="00FE6ED7">
            <w:pPr>
              <w:pStyle w:val="FormFieldCaption"/>
              <w:spacing w:before="20" w:after="20"/>
              <w:jc w:val="center"/>
              <w:rPr>
                <w:sz w:val="20"/>
                <w:szCs w:val="20"/>
              </w:rPr>
            </w:pPr>
            <w:r>
              <w:rPr>
                <w:sz w:val="20"/>
                <w:szCs w:val="20"/>
              </w:rPr>
              <w:t>2008</w:t>
            </w:r>
          </w:p>
        </w:tc>
        <w:tc>
          <w:tcPr>
            <w:tcW w:w="2592" w:type="dxa"/>
            <w:tcBorders>
              <w:top w:val="nil"/>
              <w:bottom w:val="single" w:sz="4" w:space="0" w:color="auto"/>
            </w:tcBorders>
            <w:vAlign w:val="center"/>
          </w:tcPr>
          <w:p w14:paraId="2BF4FBD7" w14:textId="77777777" w:rsidR="00D27509" w:rsidRPr="008B36B6" w:rsidRDefault="00D27509" w:rsidP="00FE6ED7">
            <w:pPr>
              <w:pStyle w:val="DataField11pt-Single"/>
              <w:rPr>
                <w:sz w:val="20"/>
              </w:rPr>
            </w:pPr>
            <w:r w:rsidRPr="008B36B6">
              <w:rPr>
                <w:sz w:val="20"/>
              </w:rPr>
              <w:t>Neurosciences</w:t>
            </w:r>
          </w:p>
        </w:tc>
      </w:tr>
    </w:tbl>
    <w:p w14:paraId="6E1B72A4" w14:textId="77777777" w:rsidR="00E86974" w:rsidRPr="002A102C" w:rsidRDefault="00E86974">
      <w:pPr>
        <w:pStyle w:val="DataField11pt-Single"/>
        <w:rPr>
          <w:szCs w:val="22"/>
        </w:rPr>
        <w:sectPr w:rsidR="00E86974" w:rsidRPr="002A102C" w:rsidSect="00E86974">
          <w:footerReference w:type="default" r:id="rId7"/>
          <w:headerReference w:type="first" r:id="rId8"/>
          <w:footerReference w:type="first" r:id="rId9"/>
          <w:type w:val="continuous"/>
          <w:pgSz w:w="12240" w:h="15840" w:code="1"/>
          <w:pgMar w:top="720" w:right="720" w:bottom="720" w:left="720" w:header="720" w:footer="720" w:gutter="0"/>
          <w:cols w:space="720"/>
          <w:docGrid w:linePitch="326"/>
        </w:sectPr>
      </w:pPr>
    </w:p>
    <w:p w14:paraId="05CA2273" w14:textId="77777777" w:rsidR="00D27509" w:rsidRPr="002A102C" w:rsidRDefault="00E86974" w:rsidP="00D27509">
      <w:pPr>
        <w:pStyle w:val="DataField11pt-Single"/>
        <w:numPr>
          <w:ilvl w:val="0"/>
          <w:numId w:val="23"/>
        </w:numPr>
        <w:spacing w:after="60"/>
        <w:ind w:left="284" w:hanging="284"/>
        <w:rPr>
          <w:b/>
          <w:bCs/>
          <w:szCs w:val="22"/>
        </w:rPr>
      </w:pPr>
      <w:r w:rsidRPr="002A102C">
        <w:rPr>
          <w:b/>
          <w:bCs/>
          <w:szCs w:val="22"/>
        </w:rPr>
        <w:t>Positions and Honors</w:t>
      </w:r>
    </w:p>
    <w:p w14:paraId="441564C3" w14:textId="77777777" w:rsidR="00DD58CA" w:rsidRPr="00DD58CA" w:rsidRDefault="00DD58CA" w:rsidP="00DD58CA">
      <w:pPr>
        <w:pStyle w:val="DataField11pt-Single"/>
        <w:rPr>
          <w:rFonts w:eastAsia="Calibri"/>
          <w:szCs w:val="22"/>
        </w:rPr>
      </w:pPr>
      <w:r w:rsidRPr="00DD58CA">
        <w:rPr>
          <w:rFonts w:eastAsia="Calibri"/>
          <w:szCs w:val="22"/>
        </w:rPr>
        <w:t xml:space="preserve">2016-present: head of the Master Degree in Neurosciences, University of Caen-Normandy </w:t>
      </w:r>
    </w:p>
    <w:p w14:paraId="03C76CFA" w14:textId="77777777" w:rsidR="00DD58CA" w:rsidRPr="00DD58CA" w:rsidRDefault="00DD58CA" w:rsidP="00DD58CA">
      <w:pPr>
        <w:pStyle w:val="DataField11pt-Single"/>
        <w:rPr>
          <w:rFonts w:eastAsia="Calibri"/>
          <w:szCs w:val="22"/>
        </w:rPr>
      </w:pPr>
      <w:r w:rsidRPr="00DD58CA">
        <w:rPr>
          <w:rFonts w:eastAsia="Calibri"/>
          <w:szCs w:val="22"/>
        </w:rPr>
        <w:t>2011-present: Professor in Neurosciences at the medical school, University of Caen-Normandy; research: INSERM U919 "serine protease and pathophysiology of the neurovascular unit"/INSERM U1237 "Physiopathology and Imaging of Neurological Disorders", Caen</w:t>
      </w:r>
    </w:p>
    <w:p w14:paraId="14AC6806" w14:textId="77777777" w:rsidR="00DD58CA" w:rsidRPr="00DD58CA" w:rsidRDefault="00DD58CA" w:rsidP="00DD58CA">
      <w:pPr>
        <w:pStyle w:val="DataField11pt-Single"/>
        <w:rPr>
          <w:rFonts w:eastAsia="Calibri"/>
          <w:szCs w:val="22"/>
        </w:rPr>
      </w:pPr>
      <w:r w:rsidRPr="00DD58CA">
        <w:rPr>
          <w:rFonts w:eastAsia="Calibri"/>
          <w:szCs w:val="22"/>
        </w:rPr>
        <w:t>2006-11: Lecturer in Neurosciences at the Institute of Fundamental and Applied Biology, University of Caen-Basse Normandy; research: INSERM U919 "serine protease and pathophysiology of the neurovascular unit", UMR-CNRS 6232 CINAPS, Caen</w:t>
      </w:r>
    </w:p>
    <w:p w14:paraId="351F604F" w14:textId="77777777" w:rsidR="00DD58CA" w:rsidRPr="00DD58CA" w:rsidRDefault="00DD58CA" w:rsidP="00DD58CA">
      <w:pPr>
        <w:pStyle w:val="DataField11pt-Single"/>
        <w:rPr>
          <w:rFonts w:eastAsia="Calibri"/>
          <w:szCs w:val="22"/>
        </w:rPr>
      </w:pPr>
      <w:r w:rsidRPr="00DD58CA">
        <w:rPr>
          <w:rFonts w:eastAsia="Calibri"/>
          <w:szCs w:val="22"/>
        </w:rPr>
        <w:t>Responsible for the theme "Brain protection and new therapeutic targets"</w:t>
      </w:r>
    </w:p>
    <w:p w14:paraId="0FBE7E09" w14:textId="77777777" w:rsidR="00DD58CA" w:rsidRPr="00DD58CA" w:rsidRDefault="00DD58CA" w:rsidP="00DD58CA">
      <w:pPr>
        <w:pStyle w:val="DataField11pt-Single"/>
        <w:rPr>
          <w:rFonts w:eastAsia="Calibri"/>
          <w:szCs w:val="22"/>
        </w:rPr>
      </w:pPr>
      <w:r w:rsidRPr="00DD58CA">
        <w:rPr>
          <w:rFonts w:eastAsia="Calibri"/>
          <w:szCs w:val="22"/>
        </w:rPr>
        <w:t>2005-06: Temporary position at INSERM, Young Researcher, INSERM-Avenir "</w:t>
      </w:r>
      <w:proofErr w:type="spellStart"/>
      <w:r w:rsidRPr="00DD58CA">
        <w:rPr>
          <w:rFonts w:eastAsia="Calibri"/>
          <w:szCs w:val="22"/>
        </w:rPr>
        <w:t>tPA</w:t>
      </w:r>
      <w:proofErr w:type="spellEnd"/>
      <w:r w:rsidRPr="00DD58CA">
        <w:rPr>
          <w:rFonts w:eastAsia="Calibri"/>
          <w:szCs w:val="22"/>
        </w:rPr>
        <w:t xml:space="preserve"> in the working brain", GIP Cyceron, Caen</w:t>
      </w:r>
    </w:p>
    <w:p w14:paraId="19F5CFC0" w14:textId="77777777" w:rsidR="00DD58CA" w:rsidRPr="00DD58CA" w:rsidRDefault="00DD58CA" w:rsidP="00DD58CA">
      <w:pPr>
        <w:pStyle w:val="DataField11pt-Single"/>
        <w:rPr>
          <w:rFonts w:eastAsia="Calibri"/>
          <w:szCs w:val="22"/>
        </w:rPr>
      </w:pPr>
      <w:r w:rsidRPr="00DD58CA">
        <w:rPr>
          <w:rFonts w:eastAsia="Calibri"/>
          <w:szCs w:val="22"/>
        </w:rPr>
        <w:t>2003-05: ATER; teaching: IBFA-UCBN; research: UMR-CNRS 6185/INSERM-Avenir "</w:t>
      </w:r>
      <w:proofErr w:type="spellStart"/>
      <w:r w:rsidRPr="00DD58CA">
        <w:rPr>
          <w:rFonts w:eastAsia="Calibri"/>
          <w:szCs w:val="22"/>
        </w:rPr>
        <w:t>tPA</w:t>
      </w:r>
      <w:proofErr w:type="spellEnd"/>
      <w:r w:rsidRPr="00DD58CA">
        <w:rPr>
          <w:rFonts w:eastAsia="Calibri"/>
          <w:szCs w:val="22"/>
        </w:rPr>
        <w:t xml:space="preserve"> in the working brain", GIP Cyceron, Caen</w:t>
      </w:r>
    </w:p>
    <w:p w14:paraId="062FC03C" w14:textId="77777777" w:rsidR="00DD58CA" w:rsidRPr="00DD58CA" w:rsidRDefault="00DD58CA" w:rsidP="00DD58CA">
      <w:pPr>
        <w:pStyle w:val="DataField11pt-Single"/>
        <w:rPr>
          <w:rFonts w:eastAsia="Calibri"/>
          <w:szCs w:val="22"/>
        </w:rPr>
      </w:pPr>
      <w:r w:rsidRPr="00DD58CA">
        <w:rPr>
          <w:rFonts w:eastAsia="Calibri"/>
          <w:szCs w:val="22"/>
        </w:rPr>
        <w:t>2001-03: Research Associate, School of Biological Sciences, University of Manchester, United Kingdom (</w:t>
      </w:r>
      <w:proofErr w:type="spellStart"/>
      <w:r w:rsidRPr="00DD58CA">
        <w:rPr>
          <w:rFonts w:eastAsia="Calibri"/>
          <w:szCs w:val="22"/>
        </w:rPr>
        <w:t>Wellcome</w:t>
      </w:r>
      <w:proofErr w:type="spellEnd"/>
      <w:r w:rsidRPr="00DD58CA">
        <w:rPr>
          <w:rFonts w:eastAsia="Calibri"/>
          <w:szCs w:val="22"/>
        </w:rPr>
        <w:t xml:space="preserve"> Travelling Research Fellowship)</w:t>
      </w:r>
    </w:p>
    <w:p w14:paraId="67E39CE7" w14:textId="773ED2BA" w:rsidR="00E86974" w:rsidRDefault="00DD58CA" w:rsidP="00DD58CA">
      <w:pPr>
        <w:pStyle w:val="DataField11pt-Single"/>
        <w:rPr>
          <w:rFonts w:eastAsia="Calibri"/>
          <w:szCs w:val="22"/>
        </w:rPr>
      </w:pPr>
      <w:r w:rsidRPr="00DD58CA">
        <w:rPr>
          <w:rFonts w:eastAsia="Calibri"/>
          <w:szCs w:val="22"/>
        </w:rPr>
        <w:t xml:space="preserve">May-Sept 2001: Post-doctorate, </w:t>
      </w:r>
      <w:proofErr w:type="spellStart"/>
      <w:r w:rsidRPr="00DD58CA">
        <w:rPr>
          <w:rFonts w:eastAsia="Calibri"/>
          <w:szCs w:val="22"/>
        </w:rPr>
        <w:t>Cajal</w:t>
      </w:r>
      <w:proofErr w:type="spellEnd"/>
      <w:r w:rsidRPr="00DD58CA">
        <w:rPr>
          <w:rFonts w:eastAsia="Calibri"/>
          <w:szCs w:val="22"/>
        </w:rPr>
        <w:t xml:space="preserve"> Institute, CSIC, Madrid, Spain (Training Mobility Research)</w:t>
      </w:r>
    </w:p>
    <w:p w14:paraId="40271C70" w14:textId="377AB9B3" w:rsidR="00DD58CA" w:rsidRDefault="00DD58CA" w:rsidP="00DD58CA">
      <w:pPr>
        <w:pStyle w:val="DataField11pt-Single"/>
        <w:rPr>
          <w:rFonts w:eastAsia="Calibri"/>
          <w:szCs w:val="22"/>
        </w:rPr>
      </w:pPr>
    </w:p>
    <w:p w14:paraId="72E22326" w14:textId="77777777" w:rsidR="00DD58CA" w:rsidRPr="00DD58CA" w:rsidRDefault="00DD58CA" w:rsidP="00DD58CA">
      <w:pPr>
        <w:pStyle w:val="DataField11pt-Single"/>
        <w:rPr>
          <w:rFonts w:eastAsia="Calibri"/>
          <w:szCs w:val="22"/>
        </w:rPr>
      </w:pPr>
      <w:r w:rsidRPr="00DD58CA">
        <w:rPr>
          <w:rFonts w:eastAsia="Calibri"/>
          <w:szCs w:val="22"/>
        </w:rPr>
        <w:t>Since 2009 (every 5 years): Scientific Excellence Bonus / Doctoral and Research Supervision Bonus</w:t>
      </w:r>
    </w:p>
    <w:p w14:paraId="686B5406" w14:textId="77777777" w:rsidR="00DD58CA" w:rsidRPr="00DD58CA" w:rsidRDefault="00DD58CA" w:rsidP="00DD58CA">
      <w:pPr>
        <w:pStyle w:val="DataField11pt-Single"/>
        <w:rPr>
          <w:rFonts w:eastAsia="Calibri"/>
          <w:szCs w:val="22"/>
        </w:rPr>
      </w:pPr>
      <w:r w:rsidRPr="00DD58CA">
        <w:rPr>
          <w:rFonts w:eastAsia="Calibri"/>
          <w:szCs w:val="22"/>
        </w:rPr>
        <w:t>2019: promoted to first class professor by the National University Council</w:t>
      </w:r>
    </w:p>
    <w:p w14:paraId="7A32C6AA" w14:textId="788367AE" w:rsidR="00DD58CA" w:rsidRDefault="00DD58CA" w:rsidP="00DD58CA">
      <w:pPr>
        <w:pStyle w:val="DataField11pt-Single"/>
        <w:rPr>
          <w:rFonts w:eastAsia="Calibri"/>
          <w:szCs w:val="22"/>
        </w:rPr>
      </w:pPr>
      <w:r w:rsidRPr="00DD58CA">
        <w:rPr>
          <w:rFonts w:eastAsia="Calibri"/>
          <w:szCs w:val="22"/>
        </w:rPr>
        <w:t>2024: promoted to exceptional class professor by the National University Council</w:t>
      </w:r>
    </w:p>
    <w:p w14:paraId="68FA93D0" w14:textId="77777777" w:rsidR="00DD58CA" w:rsidRPr="00DD58CA" w:rsidRDefault="00DD58CA" w:rsidP="00DD58CA">
      <w:pPr>
        <w:pStyle w:val="DataField11pt-Single"/>
        <w:rPr>
          <w:szCs w:val="22"/>
        </w:rPr>
      </w:pPr>
    </w:p>
    <w:p w14:paraId="3F7EF683" w14:textId="75C4D77B" w:rsidR="00DD58CA" w:rsidRPr="00DD58CA" w:rsidRDefault="0012130F" w:rsidP="00DD58CA">
      <w:pPr>
        <w:pStyle w:val="DataField11pt-Single"/>
        <w:numPr>
          <w:ilvl w:val="0"/>
          <w:numId w:val="23"/>
        </w:numPr>
        <w:ind w:left="284" w:hanging="284"/>
        <w:rPr>
          <w:szCs w:val="22"/>
        </w:rPr>
      </w:pPr>
      <w:r w:rsidRPr="00DD58CA">
        <w:rPr>
          <w:szCs w:val="22"/>
        </w:rPr>
        <w:t>Most Important</w:t>
      </w:r>
      <w:r w:rsidR="00087E80" w:rsidRPr="00DD58CA">
        <w:rPr>
          <w:szCs w:val="22"/>
        </w:rPr>
        <w:t xml:space="preserve"> </w:t>
      </w:r>
      <w:r w:rsidR="008B3285" w:rsidRPr="00DD58CA">
        <w:rPr>
          <w:szCs w:val="22"/>
        </w:rPr>
        <w:t xml:space="preserve">Recent </w:t>
      </w:r>
      <w:r w:rsidR="00087E80" w:rsidRPr="00DD58CA">
        <w:rPr>
          <w:szCs w:val="22"/>
        </w:rPr>
        <w:t>Publications</w:t>
      </w:r>
      <w:r w:rsidR="007C1C1B" w:rsidRPr="00DD58CA">
        <w:rPr>
          <w:szCs w:val="22"/>
        </w:rPr>
        <w:t xml:space="preserve"> </w:t>
      </w:r>
    </w:p>
    <w:p w14:paraId="3E000CB7" w14:textId="54D4D920" w:rsidR="00225EEB" w:rsidRPr="004B650E" w:rsidRDefault="00225EEB" w:rsidP="00225EEB">
      <w:pPr>
        <w:pStyle w:val="DataField11pt-Single"/>
        <w:rPr>
          <w:szCs w:val="22"/>
        </w:rPr>
      </w:pPr>
      <w:r w:rsidRPr="00225EEB">
        <w:rPr>
          <w:szCs w:val="22"/>
        </w:rPr>
        <w:t xml:space="preserve">1. </w:t>
      </w:r>
      <w:r w:rsidRPr="00225EEB">
        <w:rPr>
          <w:szCs w:val="22"/>
        </w:rPr>
        <w:tab/>
        <w:t xml:space="preserve"> </w:t>
      </w:r>
      <w:r w:rsidRPr="00225EEB">
        <w:rPr>
          <w:szCs w:val="22"/>
          <w:lang w:val="en-GB"/>
        </w:rPr>
        <w:t>Prunotto P, Marie P, Lebouvier L, Hommet Y, Vivien D, Ali C.</w:t>
      </w:r>
      <w:r w:rsidRPr="00225EEB">
        <w:rPr>
          <w:szCs w:val="22"/>
        </w:rPr>
        <w:t xml:space="preserve"> </w:t>
      </w:r>
      <w:r w:rsidRPr="00225EEB">
        <w:rPr>
          <w:szCs w:val="22"/>
        </w:rPr>
        <w:t xml:space="preserve">The Janus face of endogenous neuronal </w:t>
      </w:r>
      <w:proofErr w:type="spellStart"/>
      <w:r w:rsidRPr="00225EEB">
        <w:rPr>
          <w:szCs w:val="22"/>
        </w:rPr>
        <w:t>tPA</w:t>
      </w:r>
      <w:proofErr w:type="spellEnd"/>
      <w:r w:rsidRPr="00225EEB">
        <w:rPr>
          <w:szCs w:val="22"/>
        </w:rPr>
        <w:t>: promoting self-protection and worsening the death of neighboring neurons.</w:t>
      </w:r>
    </w:p>
    <w:p w14:paraId="1E62D132" w14:textId="38424C2A" w:rsidR="00225EEB" w:rsidRPr="00225EEB" w:rsidRDefault="00225EEB" w:rsidP="00225EEB">
      <w:pPr>
        <w:pStyle w:val="DataField11pt-Single"/>
        <w:rPr>
          <w:szCs w:val="22"/>
        </w:rPr>
      </w:pPr>
      <w:r w:rsidRPr="00225EEB">
        <w:rPr>
          <w:szCs w:val="22"/>
        </w:rPr>
        <w:t xml:space="preserve">Cell Death Dis. 2024 Apr 12;15(4):261. </w:t>
      </w:r>
      <w:proofErr w:type="spellStart"/>
      <w:r w:rsidRPr="00225EEB">
        <w:rPr>
          <w:szCs w:val="22"/>
        </w:rPr>
        <w:t>doi</w:t>
      </w:r>
      <w:proofErr w:type="spellEnd"/>
      <w:r w:rsidRPr="00225EEB">
        <w:rPr>
          <w:szCs w:val="22"/>
        </w:rPr>
        <w:t>: 10.1038/s41419-024-06655-0.</w:t>
      </w:r>
      <w:r>
        <w:rPr>
          <w:szCs w:val="22"/>
        </w:rPr>
        <w:t xml:space="preserve"> </w:t>
      </w:r>
      <w:r w:rsidRPr="00225EEB">
        <w:rPr>
          <w:szCs w:val="22"/>
        </w:rPr>
        <w:t xml:space="preserve">PMID: 38609369 Free PMC article. </w:t>
      </w:r>
    </w:p>
    <w:p w14:paraId="65422B7E" w14:textId="77777777" w:rsidR="00225EEB" w:rsidRPr="00225EEB" w:rsidRDefault="00225EEB" w:rsidP="00225EEB">
      <w:pPr>
        <w:pStyle w:val="DataField11pt-Single"/>
        <w:rPr>
          <w:szCs w:val="22"/>
          <w:lang w:val="fr-FR"/>
        </w:rPr>
      </w:pPr>
      <w:r w:rsidRPr="00225EEB">
        <w:rPr>
          <w:szCs w:val="22"/>
        </w:rPr>
        <w:t xml:space="preserve">2. </w:t>
      </w:r>
      <w:r w:rsidRPr="00225EEB">
        <w:rPr>
          <w:szCs w:val="22"/>
        </w:rPr>
        <w:tab/>
      </w:r>
      <w:r w:rsidRPr="00225EEB">
        <w:rPr>
          <w:szCs w:val="22"/>
          <w:lang w:val="fr-FR"/>
        </w:rPr>
        <w:t xml:space="preserve">Furon J, Lebrun F, </w:t>
      </w:r>
      <w:proofErr w:type="spellStart"/>
      <w:r w:rsidRPr="00225EEB">
        <w:rPr>
          <w:szCs w:val="22"/>
          <w:lang w:val="fr-FR"/>
        </w:rPr>
        <w:t>Yétim</w:t>
      </w:r>
      <w:proofErr w:type="spellEnd"/>
      <w:r w:rsidRPr="00225EEB">
        <w:rPr>
          <w:szCs w:val="22"/>
          <w:lang w:val="fr-FR"/>
        </w:rPr>
        <w:t xml:space="preserve"> M, Levard D, Marie P, Orset C, Martinez de Lizarrondo S, Vivien D, Ali C.</w:t>
      </w:r>
    </w:p>
    <w:p w14:paraId="50002FA6" w14:textId="368B7DE8" w:rsidR="00225EEB" w:rsidRPr="00225EEB" w:rsidRDefault="00225EEB" w:rsidP="00225EEB">
      <w:pPr>
        <w:pStyle w:val="DataField11pt-Single"/>
        <w:rPr>
          <w:szCs w:val="22"/>
        </w:rPr>
      </w:pPr>
      <w:r w:rsidRPr="00225EEB">
        <w:rPr>
          <w:szCs w:val="22"/>
        </w:rPr>
        <w:t xml:space="preserve">Parabiosis Discriminates the Circulating, Endothelial, and Parenchymal Contributions of Endogenous Tissue-Type Plasminogen Activator to Stroke. </w:t>
      </w:r>
    </w:p>
    <w:p w14:paraId="5BF512D4" w14:textId="1AD46DA6" w:rsidR="00225EEB" w:rsidRPr="00225EEB" w:rsidRDefault="00225EEB" w:rsidP="00225EEB">
      <w:pPr>
        <w:pStyle w:val="DataField11pt-Single"/>
        <w:rPr>
          <w:szCs w:val="22"/>
        </w:rPr>
      </w:pPr>
      <w:r w:rsidRPr="00225EEB">
        <w:rPr>
          <w:szCs w:val="22"/>
        </w:rPr>
        <w:t xml:space="preserve">Stroke. 2024 Mar;55(3):747-756. </w:t>
      </w:r>
      <w:proofErr w:type="spellStart"/>
      <w:r w:rsidRPr="00225EEB">
        <w:rPr>
          <w:szCs w:val="22"/>
        </w:rPr>
        <w:t>doi</w:t>
      </w:r>
      <w:proofErr w:type="spellEnd"/>
      <w:r w:rsidRPr="00225EEB">
        <w:rPr>
          <w:szCs w:val="22"/>
        </w:rPr>
        <w:t xml:space="preserve">: 10.1161/STROKEAHA.123.045048. PMID: 38288607 </w:t>
      </w:r>
    </w:p>
    <w:p w14:paraId="63E04759" w14:textId="1593658D" w:rsidR="00225EEB" w:rsidRPr="00225EEB" w:rsidRDefault="00225EEB" w:rsidP="00225EEB">
      <w:pPr>
        <w:pStyle w:val="DataField11pt-Single"/>
        <w:rPr>
          <w:szCs w:val="22"/>
        </w:rPr>
      </w:pPr>
      <w:r w:rsidRPr="00225EEB">
        <w:rPr>
          <w:szCs w:val="22"/>
        </w:rPr>
        <w:t xml:space="preserve">3. </w:t>
      </w:r>
      <w:r w:rsidRPr="00225EEB">
        <w:rPr>
          <w:szCs w:val="22"/>
        </w:rPr>
        <w:tab/>
        <w:t>Furon J, Yetim M, Pouettre E, Martinez de Lizarrondo S, Maubert E, Hommet Y, Lebouvier L, Zheng Z, Ali C, Vivien D.</w:t>
      </w:r>
      <w:r w:rsidRPr="00225EEB">
        <w:rPr>
          <w:szCs w:val="22"/>
        </w:rPr>
        <w:t xml:space="preserve"> </w:t>
      </w:r>
      <w:r w:rsidRPr="00225EEB">
        <w:rPr>
          <w:szCs w:val="22"/>
        </w:rPr>
        <w:t>Blood tissue Plasminogen Activator (</w:t>
      </w:r>
      <w:proofErr w:type="spellStart"/>
      <w:r w:rsidRPr="00225EEB">
        <w:rPr>
          <w:szCs w:val="22"/>
        </w:rPr>
        <w:t>tPA</w:t>
      </w:r>
      <w:proofErr w:type="spellEnd"/>
      <w:r w:rsidRPr="00225EEB">
        <w:rPr>
          <w:szCs w:val="22"/>
        </w:rPr>
        <w:t xml:space="preserve">) of liver origin contributes to neurovascular coupling involving brain endothelial N-Methyl-D-Aspartate (NMDA) receptors. </w:t>
      </w:r>
    </w:p>
    <w:p w14:paraId="184DA268" w14:textId="7A2A62EB" w:rsidR="00225EEB" w:rsidRPr="00225EEB" w:rsidRDefault="00225EEB" w:rsidP="00225EEB">
      <w:pPr>
        <w:pStyle w:val="DataField11pt-Single"/>
        <w:rPr>
          <w:szCs w:val="22"/>
        </w:rPr>
      </w:pPr>
      <w:r w:rsidRPr="00225EEB">
        <w:rPr>
          <w:szCs w:val="22"/>
        </w:rPr>
        <w:t xml:space="preserve">Fluids Barriers CNS. 2023 Feb 3;20(1):11. </w:t>
      </w:r>
      <w:proofErr w:type="spellStart"/>
      <w:r w:rsidRPr="00225EEB">
        <w:rPr>
          <w:szCs w:val="22"/>
        </w:rPr>
        <w:t>doi</w:t>
      </w:r>
      <w:proofErr w:type="spellEnd"/>
      <w:r w:rsidRPr="00225EEB">
        <w:rPr>
          <w:szCs w:val="22"/>
        </w:rPr>
        <w:t>: 10.1186/s12987-023-00411-w.</w:t>
      </w:r>
      <w:r>
        <w:rPr>
          <w:szCs w:val="22"/>
        </w:rPr>
        <w:t xml:space="preserve"> </w:t>
      </w:r>
      <w:r w:rsidRPr="00225EEB">
        <w:rPr>
          <w:szCs w:val="22"/>
        </w:rPr>
        <w:t xml:space="preserve">PMID: 36737775 </w:t>
      </w:r>
    </w:p>
    <w:p w14:paraId="755C2DAB" w14:textId="42A6E8F2" w:rsidR="00225EEB" w:rsidRPr="00225EEB" w:rsidRDefault="00225EEB" w:rsidP="00225EEB">
      <w:pPr>
        <w:pStyle w:val="DataField11pt-Single"/>
        <w:rPr>
          <w:szCs w:val="22"/>
          <w:lang w:val="en-GB"/>
        </w:rPr>
      </w:pPr>
      <w:r w:rsidRPr="00225EEB">
        <w:rPr>
          <w:szCs w:val="22"/>
          <w:lang w:val="fr-FR"/>
        </w:rPr>
        <w:lastRenderedPageBreak/>
        <w:t xml:space="preserve">4. </w:t>
      </w:r>
      <w:r w:rsidRPr="00225EEB">
        <w:rPr>
          <w:szCs w:val="22"/>
          <w:lang w:val="fr-FR"/>
        </w:rPr>
        <w:tab/>
      </w:r>
      <w:r w:rsidRPr="00225EEB">
        <w:rPr>
          <w:szCs w:val="22"/>
          <w:lang w:val="en-GB"/>
        </w:rPr>
        <w:t xml:space="preserve">Zuba V, Furon J, </w:t>
      </w:r>
      <w:proofErr w:type="spellStart"/>
      <w:r w:rsidRPr="00225EEB">
        <w:rPr>
          <w:szCs w:val="22"/>
          <w:lang w:val="en-GB"/>
        </w:rPr>
        <w:t>Bellemain-Sagnard</w:t>
      </w:r>
      <w:proofErr w:type="spellEnd"/>
      <w:r w:rsidRPr="00225EEB">
        <w:rPr>
          <w:szCs w:val="22"/>
          <w:lang w:val="en-GB"/>
        </w:rPr>
        <w:t xml:space="preserve"> M, Martinez de Lizarrondo S, Lebouvier L, Rubio M, Hommet Y, Gauberti M, Vivien D, Ali C.</w:t>
      </w:r>
      <w:r w:rsidRPr="00225EEB">
        <w:rPr>
          <w:szCs w:val="22"/>
          <w:lang w:val="en-GB"/>
        </w:rPr>
        <w:t xml:space="preserve"> </w:t>
      </w:r>
      <w:r w:rsidRPr="00225EEB">
        <w:rPr>
          <w:szCs w:val="22"/>
        </w:rPr>
        <w:t xml:space="preserve">The choroid </w:t>
      </w:r>
      <w:proofErr w:type="gramStart"/>
      <w:r w:rsidRPr="00225EEB">
        <w:rPr>
          <w:szCs w:val="22"/>
        </w:rPr>
        <w:t>plexus:</w:t>
      </w:r>
      <w:proofErr w:type="gramEnd"/>
      <w:r w:rsidRPr="00225EEB">
        <w:rPr>
          <w:szCs w:val="22"/>
        </w:rPr>
        <w:t xml:space="preserve"> a door between the blood and the brain for tissue-type plasminogen activator. </w:t>
      </w:r>
    </w:p>
    <w:p w14:paraId="0E5DE806" w14:textId="28076AFB" w:rsidR="00225EEB" w:rsidRPr="00225EEB" w:rsidRDefault="00225EEB" w:rsidP="00225EEB">
      <w:pPr>
        <w:pStyle w:val="DataField11pt-Single"/>
        <w:rPr>
          <w:szCs w:val="22"/>
        </w:rPr>
      </w:pPr>
      <w:r w:rsidRPr="00225EEB">
        <w:rPr>
          <w:szCs w:val="22"/>
        </w:rPr>
        <w:t xml:space="preserve">Fluids Barriers CNS. 2022 Oct 15;19(1):80. </w:t>
      </w:r>
      <w:proofErr w:type="spellStart"/>
      <w:r w:rsidRPr="00225EEB">
        <w:rPr>
          <w:szCs w:val="22"/>
        </w:rPr>
        <w:t>doi</w:t>
      </w:r>
      <w:proofErr w:type="spellEnd"/>
      <w:r w:rsidRPr="00225EEB">
        <w:rPr>
          <w:szCs w:val="22"/>
        </w:rPr>
        <w:t>: 10.1186/s12987-022-00378-0.</w:t>
      </w:r>
      <w:r>
        <w:rPr>
          <w:szCs w:val="22"/>
        </w:rPr>
        <w:t xml:space="preserve"> </w:t>
      </w:r>
      <w:proofErr w:type="gramStart"/>
      <w:r w:rsidRPr="00225EEB">
        <w:rPr>
          <w:szCs w:val="22"/>
          <w:lang w:val="fr-FR"/>
        </w:rPr>
        <w:t>PMID:</w:t>
      </w:r>
      <w:proofErr w:type="gramEnd"/>
      <w:r w:rsidRPr="00225EEB">
        <w:rPr>
          <w:szCs w:val="22"/>
          <w:lang w:val="fr-FR"/>
        </w:rPr>
        <w:t xml:space="preserve"> 36243724 </w:t>
      </w:r>
    </w:p>
    <w:p w14:paraId="439ADFB5" w14:textId="43E040D6" w:rsidR="00225EEB" w:rsidRPr="00225EEB" w:rsidRDefault="00225EEB" w:rsidP="00225EEB">
      <w:pPr>
        <w:pStyle w:val="DataField11pt-Single"/>
        <w:rPr>
          <w:szCs w:val="22"/>
          <w:lang w:val="fr-FR"/>
        </w:rPr>
      </w:pPr>
      <w:r w:rsidRPr="00225EEB">
        <w:rPr>
          <w:szCs w:val="22"/>
          <w:lang w:val="fr-FR"/>
        </w:rPr>
        <w:t xml:space="preserve">5. </w:t>
      </w:r>
      <w:r w:rsidRPr="00225EEB">
        <w:rPr>
          <w:szCs w:val="22"/>
          <w:lang w:val="fr-FR"/>
        </w:rPr>
        <w:tab/>
        <w:t xml:space="preserve"> </w:t>
      </w:r>
    </w:p>
    <w:p w14:paraId="2784FF11" w14:textId="4112F482" w:rsidR="00225EEB" w:rsidRPr="00225EEB" w:rsidRDefault="00225EEB" w:rsidP="00225EEB">
      <w:pPr>
        <w:pStyle w:val="DataField11pt-Single"/>
        <w:rPr>
          <w:szCs w:val="22"/>
          <w:lang w:val="fr-FR"/>
        </w:rPr>
      </w:pPr>
      <w:r w:rsidRPr="00225EEB">
        <w:rPr>
          <w:szCs w:val="22"/>
          <w:lang w:val="fr-FR"/>
        </w:rPr>
        <w:t>Lépine M, Douceau S, Devienne G, Prunotto P, Lenoir S, Regnauld C, Pouettre E, Piquet J, Lebouvier L, Hommet Y, Maubert E, Agin V, Lambolez B, Cauli B, Ali C, Vivien D.</w:t>
      </w:r>
      <w:r w:rsidRPr="00225EEB">
        <w:rPr>
          <w:szCs w:val="22"/>
          <w:lang w:val="fr-FR"/>
        </w:rPr>
        <w:t xml:space="preserve"> </w:t>
      </w:r>
      <w:proofErr w:type="spellStart"/>
      <w:r w:rsidRPr="00225EEB">
        <w:rPr>
          <w:szCs w:val="22"/>
          <w:lang w:val="fr-FR"/>
        </w:rPr>
        <w:t>Parvalbumin</w:t>
      </w:r>
      <w:proofErr w:type="spellEnd"/>
      <w:r w:rsidRPr="00225EEB">
        <w:rPr>
          <w:szCs w:val="22"/>
          <w:lang w:val="fr-FR"/>
        </w:rPr>
        <w:t xml:space="preserve"> </w:t>
      </w:r>
      <w:proofErr w:type="spellStart"/>
      <w:r w:rsidRPr="00225EEB">
        <w:rPr>
          <w:szCs w:val="22"/>
          <w:lang w:val="fr-FR"/>
        </w:rPr>
        <w:t>interneuron-derived</w:t>
      </w:r>
      <w:proofErr w:type="spellEnd"/>
      <w:r w:rsidRPr="00225EEB">
        <w:rPr>
          <w:szCs w:val="22"/>
          <w:lang w:val="fr-FR"/>
        </w:rPr>
        <w:t xml:space="preserve"> tissue-type plasminogen activator </w:t>
      </w:r>
      <w:proofErr w:type="spellStart"/>
      <w:r w:rsidRPr="00225EEB">
        <w:rPr>
          <w:szCs w:val="22"/>
          <w:lang w:val="fr-FR"/>
        </w:rPr>
        <w:t>shapes</w:t>
      </w:r>
      <w:proofErr w:type="spellEnd"/>
      <w:r w:rsidRPr="00225EEB">
        <w:rPr>
          <w:szCs w:val="22"/>
          <w:lang w:val="fr-FR"/>
        </w:rPr>
        <w:t xml:space="preserve"> perineuronal net structure.</w:t>
      </w:r>
    </w:p>
    <w:p w14:paraId="3036BE9C" w14:textId="60AED6D6" w:rsidR="00225EEB" w:rsidRPr="00225EEB" w:rsidRDefault="00225EEB" w:rsidP="00225EEB">
      <w:pPr>
        <w:pStyle w:val="DataField11pt-Single"/>
        <w:rPr>
          <w:szCs w:val="22"/>
        </w:rPr>
      </w:pPr>
      <w:r w:rsidRPr="00225EEB">
        <w:rPr>
          <w:szCs w:val="22"/>
        </w:rPr>
        <w:t xml:space="preserve">BMC Biol. 2022 Oct 5;20(1):218. </w:t>
      </w:r>
      <w:proofErr w:type="spellStart"/>
      <w:r w:rsidRPr="00225EEB">
        <w:rPr>
          <w:szCs w:val="22"/>
        </w:rPr>
        <w:t>doi</w:t>
      </w:r>
      <w:proofErr w:type="spellEnd"/>
      <w:r w:rsidRPr="00225EEB">
        <w:rPr>
          <w:szCs w:val="22"/>
        </w:rPr>
        <w:t>: 10.1186/s12915-022-01419-8.</w:t>
      </w:r>
      <w:r>
        <w:rPr>
          <w:szCs w:val="22"/>
        </w:rPr>
        <w:t xml:space="preserve"> </w:t>
      </w:r>
      <w:r w:rsidRPr="00225EEB">
        <w:rPr>
          <w:szCs w:val="22"/>
        </w:rPr>
        <w:t xml:space="preserve">PMID: 36199089. </w:t>
      </w:r>
    </w:p>
    <w:p w14:paraId="3F3B4143" w14:textId="197642FC" w:rsidR="00225EEB" w:rsidRPr="00225EEB" w:rsidRDefault="00225EEB" w:rsidP="00225EEB">
      <w:pPr>
        <w:pStyle w:val="DataField11pt-Single"/>
        <w:rPr>
          <w:szCs w:val="22"/>
        </w:rPr>
      </w:pPr>
      <w:r w:rsidRPr="00225EEB">
        <w:rPr>
          <w:szCs w:val="22"/>
        </w:rPr>
        <w:t xml:space="preserve">6. </w:t>
      </w:r>
      <w:r w:rsidRPr="00225EEB">
        <w:rPr>
          <w:szCs w:val="22"/>
        </w:rPr>
        <w:tab/>
        <w:t xml:space="preserve">Drieu A, Lanquetin A, Prunotto P, </w:t>
      </w:r>
      <w:proofErr w:type="spellStart"/>
      <w:r w:rsidRPr="00225EEB">
        <w:rPr>
          <w:szCs w:val="22"/>
        </w:rPr>
        <w:t>Gulhan</w:t>
      </w:r>
      <w:proofErr w:type="spellEnd"/>
      <w:r w:rsidRPr="00225EEB">
        <w:rPr>
          <w:szCs w:val="22"/>
        </w:rPr>
        <w:t xml:space="preserve"> Z, Pédron S, Vegliante G, Tolomeo D, </w:t>
      </w:r>
      <w:proofErr w:type="spellStart"/>
      <w:r w:rsidRPr="00225EEB">
        <w:rPr>
          <w:szCs w:val="22"/>
        </w:rPr>
        <w:t>Serrière</w:t>
      </w:r>
      <w:proofErr w:type="spellEnd"/>
      <w:r w:rsidRPr="00225EEB">
        <w:rPr>
          <w:szCs w:val="22"/>
        </w:rPr>
        <w:t xml:space="preserve"> S, </w:t>
      </w:r>
      <w:proofErr w:type="spellStart"/>
      <w:r w:rsidRPr="00225EEB">
        <w:rPr>
          <w:szCs w:val="22"/>
        </w:rPr>
        <w:t>Vercouillie</w:t>
      </w:r>
      <w:proofErr w:type="spellEnd"/>
      <w:r w:rsidRPr="00225EEB">
        <w:rPr>
          <w:szCs w:val="22"/>
        </w:rPr>
        <w:t xml:space="preserve"> J, Galineau L, Tauber C, </w:t>
      </w:r>
      <w:proofErr w:type="spellStart"/>
      <w:r w:rsidRPr="00225EEB">
        <w:rPr>
          <w:szCs w:val="22"/>
        </w:rPr>
        <w:t>Kuhnast</w:t>
      </w:r>
      <w:proofErr w:type="spellEnd"/>
      <w:r w:rsidRPr="00225EEB">
        <w:rPr>
          <w:szCs w:val="22"/>
        </w:rPr>
        <w:t xml:space="preserve"> B, Rubio M, Zanier ER, Levard D, Chalon S, Vivien D, Ali C.</w:t>
      </w:r>
      <w:r>
        <w:rPr>
          <w:szCs w:val="22"/>
        </w:rPr>
        <w:t xml:space="preserve"> </w:t>
      </w:r>
      <w:r w:rsidRPr="00225EEB">
        <w:rPr>
          <w:szCs w:val="22"/>
        </w:rPr>
        <w:t xml:space="preserve">Persistent neuroinflammation and </w:t>
      </w:r>
      <w:proofErr w:type="spellStart"/>
      <w:r w:rsidRPr="00225EEB">
        <w:rPr>
          <w:szCs w:val="22"/>
        </w:rPr>
        <w:t>behavioural</w:t>
      </w:r>
      <w:proofErr w:type="spellEnd"/>
      <w:r w:rsidRPr="00225EEB">
        <w:rPr>
          <w:szCs w:val="22"/>
        </w:rPr>
        <w:t xml:space="preserve"> deficits after single mild traumatic brain injury. </w:t>
      </w:r>
    </w:p>
    <w:p w14:paraId="1C8819C6" w14:textId="596EC205" w:rsidR="00E86974" w:rsidRPr="00225EEB" w:rsidRDefault="00225EEB" w:rsidP="00225EEB">
      <w:pPr>
        <w:pStyle w:val="DataField11pt-Single"/>
        <w:rPr>
          <w:szCs w:val="22"/>
        </w:rPr>
      </w:pPr>
      <w:r w:rsidRPr="00225EEB">
        <w:rPr>
          <w:szCs w:val="22"/>
        </w:rPr>
        <w:t xml:space="preserve">J </w:t>
      </w:r>
      <w:proofErr w:type="spellStart"/>
      <w:r w:rsidRPr="00225EEB">
        <w:rPr>
          <w:szCs w:val="22"/>
        </w:rPr>
        <w:t>Cereb</w:t>
      </w:r>
      <w:proofErr w:type="spellEnd"/>
      <w:r w:rsidRPr="00225EEB">
        <w:rPr>
          <w:szCs w:val="22"/>
        </w:rPr>
        <w:t xml:space="preserve"> Blood Flow </w:t>
      </w:r>
      <w:proofErr w:type="spellStart"/>
      <w:r w:rsidRPr="00225EEB">
        <w:rPr>
          <w:szCs w:val="22"/>
        </w:rPr>
        <w:t>Metab</w:t>
      </w:r>
      <w:proofErr w:type="spellEnd"/>
      <w:r w:rsidRPr="00225EEB">
        <w:rPr>
          <w:szCs w:val="22"/>
        </w:rPr>
        <w:t xml:space="preserve">. 2022 Dec;42(12):2216-2229. </w:t>
      </w:r>
      <w:proofErr w:type="spellStart"/>
      <w:r w:rsidRPr="00225EEB">
        <w:rPr>
          <w:szCs w:val="22"/>
        </w:rPr>
        <w:t>doi</w:t>
      </w:r>
      <w:proofErr w:type="spellEnd"/>
      <w:r w:rsidRPr="00225EEB">
        <w:rPr>
          <w:szCs w:val="22"/>
        </w:rPr>
        <w:t>: 10.1177/0271678X221119288</w:t>
      </w:r>
      <w:r>
        <w:rPr>
          <w:szCs w:val="22"/>
        </w:rPr>
        <w:t xml:space="preserve">. </w:t>
      </w:r>
      <w:r w:rsidRPr="00225EEB">
        <w:rPr>
          <w:szCs w:val="22"/>
        </w:rPr>
        <w:t>PMID: 35945692.</w:t>
      </w:r>
    </w:p>
    <w:p w14:paraId="07C11418" w14:textId="77777777" w:rsidR="00225EEB" w:rsidRPr="002A102C" w:rsidRDefault="00225EEB" w:rsidP="00E86974">
      <w:pPr>
        <w:pStyle w:val="DataField11pt-Single"/>
        <w:rPr>
          <w:b/>
          <w:bCs/>
          <w:szCs w:val="22"/>
        </w:rPr>
      </w:pPr>
    </w:p>
    <w:p w14:paraId="27DA9D65" w14:textId="77777777" w:rsidR="004B650E" w:rsidRPr="004B650E" w:rsidRDefault="00E86974" w:rsidP="004B650E">
      <w:pPr>
        <w:pStyle w:val="DataField11pt-Single"/>
        <w:numPr>
          <w:ilvl w:val="0"/>
          <w:numId w:val="23"/>
        </w:numPr>
        <w:jc w:val="both"/>
        <w:rPr>
          <w:szCs w:val="22"/>
        </w:rPr>
      </w:pPr>
      <w:r w:rsidRPr="004B650E">
        <w:rPr>
          <w:b/>
          <w:bCs/>
          <w:szCs w:val="22"/>
          <w:lang w:val="fr-FR"/>
        </w:rPr>
        <w:t xml:space="preserve">Current </w:t>
      </w:r>
      <w:proofErr w:type="spellStart"/>
      <w:r w:rsidRPr="004B650E">
        <w:rPr>
          <w:b/>
          <w:bCs/>
          <w:szCs w:val="22"/>
          <w:lang w:val="fr-FR"/>
        </w:rPr>
        <w:t>grant</w:t>
      </w:r>
      <w:proofErr w:type="spellEnd"/>
      <w:r w:rsidRPr="004B650E">
        <w:rPr>
          <w:b/>
          <w:bCs/>
          <w:szCs w:val="22"/>
          <w:lang w:val="fr-FR"/>
        </w:rPr>
        <w:t xml:space="preserve"> support</w:t>
      </w:r>
      <w:r w:rsidR="002A102C" w:rsidRPr="004B650E">
        <w:rPr>
          <w:b/>
          <w:bCs/>
          <w:szCs w:val="22"/>
          <w:lang w:val="fr-FR"/>
        </w:rPr>
        <w:t xml:space="preserve"> </w:t>
      </w:r>
      <w:proofErr w:type="spellStart"/>
      <w:r w:rsidR="002A102C" w:rsidRPr="004B650E">
        <w:rPr>
          <w:b/>
          <w:bCs/>
          <w:szCs w:val="22"/>
          <w:lang w:val="fr-FR"/>
        </w:rPr>
        <w:t>among</w:t>
      </w:r>
      <w:proofErr w:type="spellEnd"/>
      <w:r w:rsidR="002A102C" w:rsidRPr="004B650E">
        <w:rPr>
          <w:b/>
          <w:bCs/>
          <w:szCs w:val="22"/>
          <w:lang w:val="fr-FR"/>
        </w:rPr>
        <w:t xml:space="preserve"> </w:t>
      </w:r>
      <w:proofErr w:type="spellStart"/>
      <w:r w:rsidR="002A102C" w:rsidRPr="004B650E">
        <w:rPr>
          <w:b/>
          <w:bCs/>
          <w:szCs w:val="22"/>
          <w:lang w:val="fr-FR"/>
        </w:rPr>
        <w:t>others</w:t>
      </w:r>
      <w:proofErr w:type="spellEnd"/>
      <w:r w:rsidR="000544AB" w:rsidRPr="004B650E">
        <w:rPr>
          <w:b/>
          <w:bCs/>
          <w:szCs w:val="22"/>
          <w:lang w:val="fr-FR"/>
        </w:rPr>
        <w:t xml:space="preserve"> </w:t>
      </w:r>
    </w:p>
    <w:p w14:paraId="79C9D634" w14:textId="07C360B9" w:rsidR="004B650E" w:rsidRPr="004B650E" w:rsidRDefault="004B650E" w:rsidP="004B650E">
      <w:pPr>
        <w:pStyle w:val="DataField11pt-Single"/>
        <w:jc w:val="both"/>
        <w:rPr>
          <w:szCs w:val="22"/>
          <w:lang w:val="en-GB"/>
        </w:rPr>
      </w:pPr>
      <w:r w:rsidRPr="004B650E">
        <w:rPr>
          <w:szCs w:val="22"/>
          <w:lang w:val="en-GB"/>
        </w:rPr>
        <w:t>2023-</w:t>
      </w:r>
      <w:proofErr w:type="gramStart"/>
      <w:r w:rsidRPr="004B650E">
        <w:rPr>
          <w:szCs w:val="22"/>
          <w:lang w:val="en-GB"/>
        </w:rPr>
        <w:t>26 :</w:t>
      </w:r>
      <w:proofErr w:type="gramEnd"/>
      <w:r w:rsidRPr="004B650E">
        <w:rPr>
          <w:szCs w:val="22"/>
          <w:lang w:val="en-GB"/>
        </w:rPr>
        <w:t xml:space="preserve"> </w:t>
      </w:r>
      <w:r w:rsidRPr="004B650E">
        <w:rPr>
          <w:szCs w:val="22"/>
          <w:lang w:val="en-GB"/>
        </w:rPr>
        <w:t>PI</w:t>
      </w:r>
      <w:r w:rsidRPr="004B650E">
        <w:rPr>
          <w:szCs w:val="22"/>
          <w:lang w:val="en-GB"/>
        </w:rPr>
        <w:t xml:space="preserve"> RIN </w:t>
      </w:r>
      <w:proofErr w:type="spellStart"/>
      <w:r w:rsidRPr="004B650E">
        <w:rPr>
          <w:szCs w:val="22"/>
          <w:lang w:val="en-GB"/>
        </w:rPr>
        <w:t>Doctorant</w:t>
      </w:r>
      <w:proofErr w:type="spellEnd"/>
      <w:r w:rsidRPr="004B650E">
        <w:rPr>
          <w:szCs w:val="22"/>
          <w:lang w:val="en-GB"/>
        </w:rPr>
        <w:t xml:space="preserve"> </w:t>
      </w:r>
      <w:r w:rsidRPr="004B650E">
        <w:rPr>
          <w:szCs w:val="22"/>
          <w:lang w:val="en-GB"/>
        </w:rPr>
        <w:t>Regional council of Norma</w:t>
      </w:r>
      <w:r>
        <w:rPr>
          <w:szCs w:val="22"/>
          <w:lang w:val="en-GB"/>
        </w:rPr>
        <w:t xml:space="preserve">ndy. </w:t>
      </w:r>
      <w:r w:rsidRPr="004B650E">
        <w:rPr>
          <w:szCs w:val="22"/>
          <w:lang w:val="en-GB"/>
        </w:rPr>
        <w:t xml:space="preserve">60 </w:t>
      </w:r>
      <w:proofErr w:type="spellStart"/>
      <w:r w:rsidRPr="004B650E">
        <w:rPr>
          <w:szCs w:val="22"/>
          <w:lang w:val="en-GB"/>
        </w:rPr>
        <w:t>kEuros</w:t>
      </w:r>
      <w:proofErr w:type="spellEnd"/>
    </w:p>
    <w:p w14:paraId="3D7ECEBC" w14:textId="531062FE" w:rsidR="002A102C" w:rsidRPr="004B650E" w:rsidRDefault="004B650E" w:rsidP="004B650E">
      <w:pPr>
        <w:pStyle w:val="DataField11pt-Single"/>
        <w:jc w:val="both"/>
        <w:rPr>
          <w:b/>
          <w:bCs/>
          <w:szCs w:val="22"/>
          <w:lang w:val="fr-FR"/>
        </w:rPr>
      </w:pPr>
      <w:r w:rsidRPr="004B650E">
        <w:rPr>
          <w:szCs w:val="22"/>
          <w:lang w:val="en-GB"/>
        </w:rPr>
        <w:t>2024-</w:t>
      </w:r>
      <w:proofErr w:type="gramStart"/>
      <w:r w:rsidRPr="004B650E">
        <w:rPr>
          <w:szCs w:val="22"/>
          <w:lang w:val="en-GB"/>
        </w:rPr>
        <w:t>25 :</w:t>
      </w:r>
      <w:proofErr w:type="gramEnd"/>
      <w:r w:rsidRPr="004B650E">
        <w:rPr>
          <w:szCs w:val="22"/>
          <w:lang w:val="en-GB"/>
        </w:rPr>
        <w:t xml:space="preserve"> </w:t>
      </w:r>
      <w:r w:rsidRPr="004B650E">
        <w:rPr>
          <w:szCs w:val="22"/>
          <w:lang w:val="en-GB"/>
        </w:rPr>
        <w:t>PI</w:t>
      </w:r>
      <w:r w:rsidRPr="004B650E">
        <w:rPr>
          <w:szCs w:val="22"/>
          <w:lang w:val="en-GB"/>
        </w:rPr>
        <w:t xml:space="preserve"> « </w:t>
      </w:r>
      <w:r w:rsidRPr="004B650E">
        <w:rPr>
          <w:szCs w:val="22"/>
          <w:lang w:val="en-GB"/>
        </w:rPr>
        <w:t xml:space="preserve">International </w:t>
      </w:r>
      <w:proofErr w:type="spellStart"/>
      <w:r w:rsidRPr="004B650E">
        <w:rPr>
          <w:szCs w:val="22"/>
          <w:lang w:val="en-GB"/>
        </w:rPr>
        <w:t>Parner</w:t>
      </w:r>
      <w:proofErr w:type="spellEnd"/>
      <w:r w:rsidRPr="004B650E">
        <w:rPr>
          <w:szCs w:val="22"/>
          <w:lang w:val="en-GB"/>
        </w:rPr>
        <w:t xml:space="preserve"> Lab</w:t>
      </w:r>
      <w:r w:rsidRPr="004B650E">
        <w:rPr>
          <w:szCs w:val="22"/>
          <w:lang w:val="en-GB"/>
        </w:rPr>
        <w:t xml:space="preserve"> » </w:t>
      </w:r>
      <w:r w:rsidRPr="004B650E">
        <w:rPr>
          <w:szCs w:val="22"/>
          <w:lang w:val="en-GB"/>
        </w:rPr>
        <w:t>with the Mario Negri Institute, Milan (Italy) f</w:t>
      </w:r>
      <w:r>
        <w:rPr>
          <w:szCs w:val="22"/>
          <w:lang w:val="en-GB"/>
        </w:rPr>
        <w:t xml:space="preserve">rom </w:t>
      </w:r>
      <w:r w:rsidRPr="004B650E">
        <w:rPr>
          <w:szCs w:val="22"/>
          <w:lang w:val="en-GB"/>
        </w:rPr>
        <w:t>Caen Normand</w:t>
      </w:r>
      <w:r>
        <w:rPr>
          <w:szCs w:val="22"/>
          <w:lang w:val="en-GB"/>
        </w:rPr>
        <w:t>y University</w:t>
      </w:r>
      <w:r w:rsidRPr="004B650E">
        <w:rPr>
          <w:szCs w:val="22"/>
          <w:lang w:val="en-GB"/>
        </w:rPr>
        <w:t xml:space="preserve">. </w:t>
      </w:r>
      <w:r w:rsidRPr="004B650E">
        <w:rPr>
          <w:szCs w:val="22"/>
          <w:lang w:val="fr-FR"/>
        </w:rPr>
        <w:t xml:space="preserve">15 </w:t>
      </w:r>
      <w:proofErr w:type="spellStart"/>
      <w:r w:rsidRPr="004B650E">
        <w:rPr>
          <w:szCs w:val="22"/>
          <w:lang w:val="fr-FR"/>
        </w:rPr>
        <w:t>kEuros</w:t>
      </w:r>
      <w:proofErr w:type="spellEnd"/>
    </w:p>
    <w:p w14:paraId="0A5C9507" w14:textId="77777777" w:rsidR="00087E80" w:rsidRPr="004B650E" w:rsidRDefault="00087E80" w:rsidP="008B36B6">
      <w:pPr>
        <w:pStyle w:val="DataField11pt-Single"/>
        <w:jc w:val="both"/>
        <w:rPr>
          <w:b/>
          <w:bCs/>
          <w:szCs w:val="22"/>
          <w:lang w:val="fr-FR"/>
        </w:rPr>
      </w:pPr>
    </w:p>
    <w:p w14:paraId="309389AF" w14:textId="2A309CBA" w:rsidR="002A102C" w:rsidRDefault="00E86974" w:rsidP="008B36B6">
      <w:pPr>
        <w:pStyle w:val="DataField11pt-Single"/>
        <w:numPr>
          <w:ilvl w:val="0"/>
          <w:numId w:val="23"/>
        </w:numPr>
        <w:ind w:left="284" w:hanging="284"/>
        <w:jc w:val="both"/>
        <w:rPr>
          <w:b/>
          <w:bCs/>
          <w:szCs w:val="22"/>
        </w:rPr>
      </w:pPr>
      <w:r w:rsidRPr="002A102C">
        <w:rPr>
          <w:b/>
          <w:bCs/>
          <w:szCs w:val="22"/>
        </w:rPr>
        <w:t xml:space="preserve">Previous experience in collaborative </w:t>
      </w:r>
      <w:r w:rsidR="002A102C" w:rsidRPr="002A102C">
        <w:rPr>
          <w:b/>
          <w:bCs/>
          <w:szCs w:val="22"/>
        </w:rPr>
        <w:t>research</w:t>
      </w:r>
    </w:p>
    <w:p w14:paraId="25F9560D" w14:textId="603F9BBB" w:rsidR="004B650E" w:rsidRDefault="004B650E" w:rsidP="004B650E">
      <w:pPr>
        <w:pStyle w:val="DataField11pt-Single"/>
        <w:jc w:val="both"/>
        <w:rPr>
          <w:szCs w:val="22"/>
        </w:rPr>
      </w:pPr>
      <w:r w:rsidRPr="004B650E">
        <w:rPr>
          <w:szCs w:val="22"/>
        </w:rPr>
        <w:t>2015-1</w:t>
      </w:r>
      <w:r>
        <w:rPr>
          <w:szCs w:val="22"/>
        </w:rPr>
        <w:t>8</w:t>
      </w:r>
      <w:r w:rsidRPr="004B650E">
        <w:rPr>
          <w:szCs w:val="22"/>
        </w:rPr>
        <w:t xml:space="preserve">: </w:t>
      </w:r>
      <w:r>
        <w:rPr>
          <w:szCs w:val="22"/>
        </w:rPr>
        <w:t>PI</w:t>
      </w:r>
      <w:r w:rsidRPr="004B650E">
        <w:rPr>
          <w:szCs w:val="22"/>
        </w:rPr>
        <w:t xml:space="preserve"> ANR “P2N2: Proteases and the perineuronal net”. 471 </w:t>
      </w:r>
      <w:proofErr w:type="spellStart"/>
      <w:r w:rsidRPr="004B650E">
        <w:rPr>
          <w:szCs w:val="22"/>
        </w:rPr>
        <w:t>kEuros</w:t>
      </w:r>
      <w:proofErr w:type="spellEnd"/>
      <w:r>
        <w:rPr>
          <w:szCs w:val="22"/>
        </w:rPr>
        <w:t xml:space="preserve">; </w:t>
      </w:r>
    </w:p>
    <w:p w14:paraId="03463598" w14:textId="5AB109E1" w:rsidR="004B650E" w:rsidRPr="004B650E" w:rsidRDefault="004B650E" w:rsidP="004B650E">
      <w:pPr>
        <w:pStyle w:val="DataField11pt-Single"/>
        <w:jc w:val="both"/>
        <w:rPr>
          <w:szCs w:val="22"/>
        </w:rPr>
      </w:pPr>
      <w:r w:rsidRPr="004B650E">
        <w:rPr>
          <w:szCs w:val="22"/>
        </w:rPr>
        <w:t>2019-</w:t>
      </w:r>
      <w:proofErr w:type="gramStart"/>
      <w:r w:rsidRPr="004B650E">
        <w:rPr>
          <w:szCs w:val="22"/>
        </w:rPr>
        <w:t>2022 :</w:t>
      </w:r>
      <w:proofErr w:type="gramEnd"/>
      <w:r w:rsidRPr="004B650E">
        <w:rPr>
          <w:szCs w:val="22"/>
        </w:rPr>
        <w:t xml:space="preserve"> </w:t>
      </w:r>
      <w:r>
        <w:rPr>
          <w:szCs w:val="22"/>
        </w:rPr>
        <w:t>partner</w:t>
      </w:r>
      <w:r w:rsidRPr="004B650E">
        <w:rPr>
          <w:szCs w:val="22"/>
        </w:rPr>
        <w:t xml:space="preserve"> ANR « SMOG-15 : Stroke-induced Myocardial dysfunction: role of GDF-15 ». 178 </w:t>
      </w:r>
      <w:proofErr w:type="spellStart"/>
      <w:r w:rsidRPr="004B650E">
        <w:rPr>
          <w:szCs w:val="22"/>
        </w:rPr>
        <w:t>kEuros</w:t>
      </w:r>
      <w:proofErr w:type="spellEnd"/>
      <w:r w:rsidRPr="004B650E">
        <w:rPr>
          <w:szCs w:val="22"/>
        </w:rPr>
        <w:t xml:space="preserve"> (</w:t>
      </w:r>
      <w:proofErr w:type="gramStart"/>
      <w:r w:rsidRPr="004B650E">
        <w:rPr>
          <w:szCs w:val="22"/>
        </w:rPr>
        <w:t>total :</w:t>
      </w:r>
      <w:proofErr w:type="gramEnd"/>
      <w:r w:rsidRPr="004B650E">
        <w:rPr>
          <w:szCs w:val="22"/>
        </w:rPr>
        <w:t xml:space="preserve"> 498 </w:t>
      </w:r>
      <w:proofErr w:type="spellStart"/>
      <w:r w:rsidRPr="004B650E">
        <w:rPr>
          <w:szCs w:val="22"/>
        </w:rPr>
        <w:t>kEuros</w:t>
      </w:r>
      <w:proofErr w:type="spellEnd"/>
      <w:r w:rsidRPr="004B650E">
        <w:rPr>
          <w:szCs w:val="22"/>
        </w:rPr>
        <w:t>)</w:t>
      </w:r>
    </w:p>
    <w:p w14:paraId="589BAECC" w14:textId="6DB683CE" w:rsidR="00F10D5C" w:rsidRDefault="00F10D5C">
      <w:pPr>
        <w:pStyle w:val="DataField11pt-Single"/>
        <w:rPr>
          <w:szCs w:val="22"/>
        </w:rPr>
      </w:pPr>
    </w:p>
    <w:p w14:paraId="400DFFD9" w14:textId="77777777" w:rsidR="00AC765F" w:rsidRPr="00AC765F" w:rsidRDefault="00AC765F" w:rsidP="00AC765F"/>
    <w:p w14:paraId="1803F317" w14:textId="6A91772B" w:rsidR="00AC765F" w:rsidRPr="00AC765F" w:rsidRDefault="00AC765F" w:rsidP="00AC765F">
      <w:pPr>
        <w:tabs>
          <w:tab w:val="left" w:pos="1184"/>
        </w:tabs>
      </w:pPr>
      <w:r>
        <w:tab/>
      </w:r>
    </w:p>
    <w:sectPr w:rsidR="00AC765F" w:rsidRPr="00AC765F" w:rsidSect="00E86974">
      <w:footerReference w:type="default" r:id="rId10"/>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1BCF" w14:textId="77777777" w:rsidR="00272699" w:rsidRDefault="00272699">
      <w:r>
        <w:separator/>
      </w:r>
    </w:p>
  </w:endnote>
  <w:endnote w:type="continuationSeparator" w:id="0">
    <w:p w14:paraId="432797CD" w14:textId="77777777" w:rsidR="00272699" w:rsidRDefault="0027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3564" w14:textId="77777777" w:rsidR="00E86974" w:rsidRDefault="00E86974">
    <w:pPr>
      <w:pStyle w:val="Form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97B7" w14:textId="77777777" w:rsidR="00E86974" w:rsidRDefault="00E86974">
    <w:pPr>
      <w:pStyle w:val="FormFooterBorder"/>
    </w:pPr>
    <w:r>
      <w:t>PHS 398/2590 (Rev. 09/04)</w:t>
    </w:r>
    <w:r>
      <w:tab/>
      <w:t xml:space="preserve">Page </w:t>
    </w:r>
    <w:r>
      <w:rPr>
        <w:rStyle w:val="Numrodepage"/>
      </w:rPr>
      <w:t xml:space="preserve">    </w:t>
    </w:r>
    <w:r>
      <w:tab/>
    </w:r>
    <w:r>
      <w:rPr>
        <w:b/>
        <w:bCs/>
      </w:rPr>
      <w:t>Biographical Sketch Format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E378" w14:textId="64AD7728" w:rsidR="00E86974" w:rsidRPr="00C4536F" w:rsidRDefault="00E86974">
    <w:pPr>
      <w:pStyle w:val="FormFooterBorder"/>
      <w:rPr>
        <w:lang w:val="fr-FR"/>
      </w:rPr>
    </w:pPr>
    <w:r w:rsidRPr="00C4536F">
      <w:rPr>
        <w:lang w:val="fr-FR"/>
      </w:rPr>
      <w:tab/>
      <w:t xml:space="preserve">Page </w:t>
    </w:r>
    <w:r w:rsidR="00243B99">
      <w:rPr>
        <w:lang w:val="fr-FR"/>
      </w:rPr>
      <w:t>2</w:t>
    </w:r>
    <w:r w:rsidRPr="00C4536F">
      <w:rPr>
        <w:lang w:val="fr-FR"/>
      </w:rPr>
      <w:tab/>
    </w:r>
    <w:r w:rsidRPr="00C4536F">
      <w:rPr>
        <w:b/>
        <w:bCs/>
        <w:lang w:val="fr-FR"/>
      </w:rPr>
      <w:t>Continuation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E33A" w14:textId="77777777" w:rsidR="00272699" w:rsidRDefault="00272699">
      <w:r>
        <w:separator/>
      </w:r>
    </w:p>
  </w:footnote>
  <w:footnote w:type="continuationSeparator" w:id="0">
    <w:p w14:paraId="4C84515B" w14:textId="77777777" w:rsidR="00272699" w:rsidRDefault="0027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E86974" w14:paraId="3B869C8C" w14:textId="77777777">
      <w:trPr>
        <w:trHeight w:hRule="exact" w:val="360"/>
        <w:jc w:val="center"/>
      </w:trPr>
      <w:tc>
        <w:tcPr>
          <w:tcW w:w="5328" w:type="dxa"/>
          <w:tcBorders>
            <w:left w:val="nil"/>
            <w:right w:val="nil"/>
          </w:tcBorders>
          <w:vAlign w:val="bottom"/>
        </w:tcPr>
        <w:p w14:paraId="2E4CA6A1" w14:textId="77777777" w:rsidR="00E86974" w:rsidRDefault="00E86974" w:rsidP="00E86974">
          <w:pPr>
            <w:pStyle w:val="PIHeader"/>
          </w:pPr>
          <w:r>
            <w:t>Principal Investigator/Program Director (Last, First, Middle):</w:t>
          </w:r>
        </w:p>
      </w:tc>
      <w:tc>
        <w:tcPr>
          <w:tcW w:w="5328" w:type="dxa"/>
          <w:tcBorders>
            <w:left w:val="nil"/>
            <w:right w:val="nil"/>
          </w:tcBorders>
          <w:vAlign w:val="center"/>
        </w:tcPr>
        <w:p w14:paraId="4DA12EA0" w14:textId="77777777" w:rsidR="00E86974" w:rsidRDefault="00E86974" w:rsidP="00E86974">
          <w:pPr>
            <w:pStyle w:val="DataField11pt-Single"/>
          </w:pPr>
        </w:p>
      </w:tc>
    </w:tr>
  </w:tbl>
  <w:p w14:paraId="36307A55" w14:textId="77777777" w:rsidR="00E86974" w:rsidRDefault="00E86974">
    <w:pPr>
      <w:pStyle w:val="En-tte"/>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23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6ED7A"/>
    <w:lvl w:ilvl="0">
      <w:start w:val="1"/>
      <w:numFmt w:val="decimal"/>
      <w:pStyle w:val="Listenumros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enumros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enumros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enumros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epuces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epuces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epuces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epuces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epuces"/>
      <w:lvlText w:val=""/>
      <w:lvlJc w:val="left"/>
      <w:pPr>
        <w:tabs>
          <w:tab w:val="num" w:pos="360"/>
        </w:tabs>
        <w:ind w:left="360" w:hanging="360"/>
      </w:pPr>
      <w:rPr>
        <w:rFonts w:ascii="Symbol" w:hAnsi="Symbol" w:cs="Times New Roman" w:hint="default"/>
      </w:rPr>
    </w:lvl>
  </w:abstractNum>
  <w:abstractNum w:abstractNumId="11" w15:restartNumberingAfterBreak="0">
    <w:nsid w:val="035A53CA"/>
    <w:multiLevelType w:val="hybridMultilevel"/>
    <w:tmpl w:val="625856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F5D26"/>
    <w:multiLevelType w:val="hybridMultilevel"/>
    <w:tmpl w:val="F2D22396"/>
    <w:lvl w:ilvl="0" w:tplc="816A66A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257B4"/>
    <w:multiLevelType w:val="multilevel"/>
    <w:tmpl w:val="B1128372"/>
    <w:lvl w:ilvl="0">
      <w:start w:val="1995"/>
      <w:numFmt w:val="decimal"/>
      <w:lvlText w:val="%1"/>
      <w:lvlJc w:val="left"/>
      <w:pPr>
        <w:ind w:left="1060" w:hanging="1060"/>
      </w:pPr>
      <w:rPr>
        <w:rFonts w:hint="default"/>
        <w:b w:val="0"/>
      </w:rPr>
    </w:lvl>
    <w:lvl w:ilvl="1">
      <w:start w:val="2001"/>
      <w:numFmt w:val="decimal"/>
      <w:lvlText w:val="%1-%2"/>
      <w:lvlJc w:val="left"/>
      <w:pPr>
        <w:ind w:left="1060" w:hanging="1060"/>
      </w:pPr>
      <w:rPr>
        <w:rFonts w:hint="default"/>
        <w:b w:val="0"/>
      </w:rPr>
    </w:lvl>
    <w:lvl w:ilvl="2">
      <w:start w:val="1"/>
      <w:numFmt w:val="decimal"/>
      <w:lvlText w:val="%1-%2.%3"/>
      <w:lvlJc w:val="left"/>
      <w:pPr>
        <w:ind w:left="1060" w:hanging="1060"/>
      </w:pPr>
      <w:rPr>
        <w:rFonts w:hint="default"/>
        <w:b w:val="0"/>
      </w:rPr>
    </w:lvl>
    <w:lvl w:ilvl="3">
      <w:start w:val="1"/>
      <w:numFmt w:val="decimal"/>
      <w:lvlText w:val="%1-%2.%3.%4"/>
      <w:lvlJc w:val="left"/>
      <w:pPr>
        <w:ind w:left="1060" w:hanging="106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752166C"/>
    <w:multiLevelType w:val="hybridMultilevel"/>
    <w:tmpl w:val="14B83EA8"/>
    <w:lvl w:ilvl="0" w:tplc="0E1C9334">
      <w:start w:val="1"/>
      <w:numFmt w:val="decimal"/>
      <w:lvlText w:val="%1."/>
      <w:lvlJc w:val="left"/>
      <w:pPr>
        <w:ind w:left="720" w:hanging="360"/>
      </w:pPr>
      <w:rPr>
        <w:rFonts w:ascii="Arial" w:eastAsia="Times New Roman" w:hAnsi="Arial" w:cs="Arial"/>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6674E"/>
    <w:multiLevelType w:val="hybridMultilevel"/>
    <w:tmpl w:val="1F1C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1396D"/>
    <w:multiLevelType w:val="multilevel"/>
    <w:tmpl w:val="86D28A98"/>
    <w:lvl w:ilvl="0">
      <w:start w:val="1993"/>
      <w:numFmt w:val="decimal"/>
      <w:lvlText w:val="%1"/>
      <w:lvlJc w:val="left"/>
      <w:pPr>
        <w:ind w:left="1060" w:hanging="1060"/>
      </w:pPr>
      <w:rPr>
        <w:rFonts w:hint="default"/>
        <w:b w:val="0"/>
      </w:rPr>
    </w:lvl>
    <w:lvl w:ilvl="1">
      <w:start w:val="1994"/>
      <w:numFmt w:val="decimal"/>
      <w:lvlText w:val="%1-%2"/>
      <w:lvlJc w:val="left"/>
      <w:pPr>
        <w:ind w:left="1060" w:hanging="1060"/>
      </w:pPr>
      <w:rPr>
        <w:rFonts w:hint="default"/>
        <w:b w:val="0"/>
      </w:rPr>
    </w:lvl>
    <w:lvl w:ilvl="2">
      <w:start w:val="1"/>
      <w:numFmt w:val="decimal"/>
      <w:lvlText w:val="%1-%2.%3"/>
      <w:lvlJc w:val="left"/>
      <w:pPr>
        <w:ind w:left="1060" w:hanging="1060"/>
      </w:pPr>
      <w:rPr>
        <w:rFonts w:hint="default"/>
        <w:b w:val="0"/>
      </w:rPr>
    </w:lvl>
    <w:lvl w:ilvl="3">
      <w:start w:val="1"/>
      <w:numFmt w:val="decimal"/>
      <w:lvlText w:val="%1-%2.%3.%4"/>
      <w:lvlJc w:val="left"/>
      <w:pPr>
        <w:ind w:left="1060" w:hanging="106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8" w15:restartNumberingAfterBreak="0">
    <w:nsid w:val="19D2420B"/>
    <w:multiLevelType w:val="multilevel"/>
    <w:tmpl w:val="B532E036"/>
    <w:lvl w:ilvl="0">
      <w:start w:val="2014"/>
      <w:numFmt w:val="decimal"/>
      <w:lvlText w:val="%1"/>
      <w:lvlJc w:val="left"/>
      <w:pPr>
        <w:ind w:left="1060" w:hanging="1060"/>
      </w:pPr>
      <w:rPr>
        <w:rFonts w:eastAsia="Calibri" w:hint="default"/>
        <w:b w:val="0"/>
      </w:rPr>
    </w:lvl>
    <w:lvl w:ilvl="1">
      <w:start w:val="2017"/>
      <w:numFmt w:val="decimal"/>
      <w:lvlText w:val="%1-%2"/>
      <w:lvlJc w:val="left"/>
      <w:pPr>
        <w:ind w:left="4463" w:hanging="1060"/>
      </w:pPr>
      <w:rPr>
        <w:rFonts w:eastAsia="Calibri" w:hint="default"/>
        <w:b w:val="0"/>
      </w:rPr>
    </w:lvl>
    <w:lvl w:ilvl="2">
      <w:start w:val="1"/>
      <w:numFmt w:val="decimal"/>
      <w:lvlText w:val="%1-%2.%3"/>
      <w:lvlJc w:val="left"/>
      <w:pPr>
        <w:ind w:left="1060" w:hanging="1060"/>
      </w:pPr>
      <w:rPr>
        <w:rFonts w:eastAsia="Calibri" w:hint="default"/>
        <w:b w:val="0"/>
      </w:rPr>
    </w:lvl>
    <w:lvl w:ilvl="3">
      <w:start w:val="1"/>
      <w:numFmt w:val="decimal"/>
      <w:lvlText w:val="%1-%2.%3.%4"/>
      <w:lvlJc w:val="left"/>
      <w:pPr>
        <w:ind w:left="1060" w:hanging="106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9" w15:restartNumberingAfterBreak="0">
    <w:nsid w:val="1E9E5D32"/>
    <w:multiLevelType w:val="hybridMultilevel"/>
    <w:tmpl w:val="FBD837AE"/>
    <w:lvl w:ilvl="0" w:tplc="596CFF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330A0"/>
    <w:multiLevelType w:val="hybridMultilevel"/>
    <w:tmpl w:val="8538447E"/>
    <w:lvl w:ilvl="0" w:tplc="065EB5E2">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BE391D"/>
    <w:multiLevelType w:val="multilevel"/>
    <w:tmpl w:val="8CB47C04"/>
    <w:lvl w:ilvl="0">
      <w:start w:val="2004"/>
      <w:numFmt w:val="decimal"/>
      <w:lvlText w:val="%1"/>
      <w:lvlJc w:val="left"/>
      <w:pPr>
        <w:ind w:left="1060" w:hanging="1060"/>
      </w:pPr>
      <w:rPr>
        <w:rFonts w:hint="default"/>
        <w:b w:val="0"/>
      </w:rPr>
    </w:lvl>
    <w:lvl w:ilvl="1">
      <w:start w:val="2005"/>
      <w:numFmt w:val="decimal"/>
      <w:lvlText w:val="%1-%2"/>
      <w:lvlJc w:val="left"/>
      <w:pPr>
        <w:ind w:left="1060" w:hanging="1060"/>
      </w:pPr>
      <w:rPr>
        <w:rFonts w:hint="default"/>
        <w:b w:val="0"/>
      </w:rPr>
    </w:lvl>
    <w:lvl w:ilvl="2">
      <w:start w:val="1"/>
      <w:numFmt w:val="decimal"/>
      <w:lvlText w:val="%1-%2.%3"/>
      <w:lvlJc w:val="left"/>
      <w:pPr>
        <w:ind w:left="1060" w:hanging="1060"/>
      </w:pPr>
      <w:rPr>
        <w:rFonts w:hint="default"/>
        <w:b w:val="0"/>
      </w:rPr>
    </w:lvl>
    <w:lvl w:ilvl="3">
      <w:start w:val="1"/>
      <w:numFmt w:val="decimal"/>
      <w:lvlText w:val="%1-%2.%3.%4"/>
      <w:lvlJc w:val="left"/>
      <w:pPr>
        <w:ind w:left="1060" w:hanging="106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51F2738"/>
    <w:multiLevelType w:val="multilevel"/>
    <w:tmpl w:val="B0FC519E"/>
    <w:lvl w:ilvl="0">
      <w:start w:val="2005"/>
      <w:numFmt w:val="decimal"/>
      <w:lvlText w:val="%1"/>
      <w:lvlJc w:val="left"/>
      <w:pPr>
        <w:ind w:left="1060" w:hanging="1060"/>
      </w:pPr>
      <w:rPr>
        <w:rFonts w:hint="default"/>
        <w:b w:val="0"/>
      </w:rPr>
    </w:lvl>
    <w:lvl w:ilvl="1">
      <w:start w:val="2008"/>
      <w:numFmt w:val="decimal"/>
      <w:lvlText w:val="%1-%2"/>
      <w:lvlJc w:val="left"/>
      <w:pPr>
        <w:ind w:left="1060" w:hanging="1060"/>
      </w:pPr>
      <w:rPr>
        <w:rFonts w:hint="default"/>
        <w:b w:val="0"/>
      </w:rPr>
    </w:lvl>
    <w:lvl w:ilvl="2">
      <w:start w:val="1"/>
      <w:numFmt w:val="decimal"/>
      <w:lvlText w:val="%1-%2.%3"/>
      <w:lvlJc w:val="left"/>
      <w:pPr>
        <w:ind w:left="1060" w:hanging="1060"/>
      </w:pPr>
      <w:rPr>
        <w:rFonts w:hint="default"/>
        <w:b w:val="0"/>
      </w:rPr>
    </w:lvl>
    <w:lvl w:ilvl="3">
      <w:start w:val="1"/>
      <w:numFmt w:val="decimal"/>
      <w:lvlText w:val="%1-%2.%3.%4"/>
      <w:lvlJc w:val="left"/>
      <w:pPr>
        <w:ind w:left="1060" w:hanging="106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68F272C"/>
    <w:multiLevelType w:val="multilevel"/>
    <w:tmpl w:val="E3469486"/>
    <w:lvl w:ilvl="0">
      <w:start w:val="2001"/>
      <w:numFmt w:val="decimal"/>
      <w:lvlText w:val="%1"/>
      <w:lvlJc w:val="left"/>
      <w:pPr>
        <w:ind w:left="1060" w:hanging="1060"/>
      </w:pPr>
      <w:rPr>
        <w:rFonts w:hint="default"/>
        <w:b w:val="0"/>
      </w:rPr>
    </w:lvl>
    <w:lvl w:ilvl="1">
      <w:start w:val="2016"/>
      <w:numFmt w:val="decimal"/>
      <w:lvlText w:val="%1-%2"/>
      <w:lvlJc w:val="left"/>
      <w:pPr>
        <w:ind w:left="1060" w:hanging="1060"/>
      </w:pPr>
      <w:rPr>
        <w:rFonts w:hint="default"/>
        <w:b w:val="0"/>
      </w:rPr>
    </w:lvl>
    <w:lvl w:ilvl="2">
      <w:start w:val="1"/>
      <w:numFmt w:val="decimal"/>
      <w:lvlText w:val="%1-%2.%3"/>
      <w:lvlJc w:val="left"/>
      <w:pPr>
        <w:ind w:left="1060" w:hanging="1060"/>
      </w:pPr>
      <w:rPr>
        <w:rFonts w:hint="default"/>
        <w:b w:val="0"/>
      </w:rPr>
    </w:lvl>
    <w:lvl w:ilvl="3">
      <w:start w:val="1"/>
      <w:numFmt w:val="decimal"/>
      <w:lvlText w:val="%1-%2.%3.%4"/>
      <w:lvlJc w:val="left"/>
      <w:pPr>
        <w:ind w:left="1060" w:hanging="106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9382BAB"/>
    <w:multiLevelType w:val="hybridMultilevel"/>
    <w:tmpl w:val="3F9CABFA"/>
    <w:lvl w:ilvl="0" w:tplc="1284CD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067CD"/>
    <w:multiLevelType w:val="hybridMultilevel"/>
    <w:tmpl w:val="DCC060EC"/>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4FAB0C72"/>
    <w:multiLevelType w:val="hybridMultilevel"/>
    <w:tmpl w:val="172C65FE"/>
    <w:lvl w:ilvl="0" w:tplc="3D0436D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0EF2"/>
    <w:multiLevelType w:val="hybridMultilevel"/>
    <w:tmpl w:val="2CF0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3185D"/>
    <w:multiLevelType w:val="hybridMultilevel"/>
    <w:tmpl w:val="2CF08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9F4D75"/>
    <w:multiLevelType w:val="hybridMultilevel"/>
    <w:tmpl w:val="B33C86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436EA"/>
    <w:multiLevelType w:val="hybridMultilevel"/>
    <w:tmpl w:val="EB56F1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abstractNum w:abstractNumId="33" w15:restartNumberingAfterBreak="0">
    <w:nsid w:val="782B5560"/>
    <w:multiLevelType w:val="multilevel"/>
    <w:tmpl w:val="F3FE21DC"/>
    <w:lvl w:ilvl="0">
      <w:start w:val="2014"/>
      <w:numFmt w:val="decimal"/>
      <w:lvlText w:val="%1"/>
      <w:lvlJc w:val="left"/>
      <w:pPr>
        <w:ind w:left="800" w:hanging="800"/>
      </w:pPr>
      <w:rPr>
        <w:rFonts w:eastAsia="Calibri" w:hint="default"/>
        <w:b w:val="0"/>
      </w:rPr>
    </w:lvl>
    <w:lvl w:ilvl="1">
      <w:start w:val="17"/>
      <w:numFmt w:val="decimal"/>
      <w:lvlText w:val="%1-%2"/>
      <w:lvlJc w:val="left"/>
      <w:pPr>
        <w:ind w:left="800" w:hanging="800"/>
      </w:pPr>
      <w:rPr>
        <w:rFonts w:eastAsia="Calibri" w:hint="default"/>
        <w:b w:val="0"/>
      </w:rPr>
    </w:lvl>
    <w:lvl w:ilvl="2">
      <w:start w:val="1"/>
      <w:numFmt w:val="decimal"/>
      <w:lvlText w:val="%1-%2.%3"/>
      <w:lvlJc w:val="left"/>
      <w:pPr>
        <w:ind w:left="800" w:hanging="800"/>
      </w:pPr>
      <w:rPr>
        <w:rFonts w:eastAsia="Calibri" w:hint="default"/>
        <w:b w:val="0"/>
      </w:rPr>
    </w:lvl>
    <w:lvl w:ilvl="3">
      <w:start w:val="1"/>
      <w:numFmt w:val="decimal"/>
      <w:lvlText w:val="%1-%2.%3.%4"/>
      <w:lvlJc w:val="left"/>
      <w:pPr>
        <w:ind w:left="800" w:hanging="80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
  </w:num>
  <w:num w:numId="12">
    <w:abstractNumId w:val="26"/>
  </w:num>
  <w:num w:numId="13">
    <w:abstractNumId w:val="17"/>
  </w:num>
  <w:num w:numId="14">
    <w:abstractNumId w:val="32"/>
  </w:num>
  <w:num w:numId="15">
    <w:abstractNumId w:val="30"/>
  </w:num>
  <w:num w:numId="16">
    <w:abstractNumId w:val="0"/>
  </w:num>
  <w:num w:numId="17">
    <w:abstractNumId w:val="31"/>
  </w:num>
  <w:num w:numId="18">
    <w:abstractNumId w:val="19"/>
  </w:num>
  <w:num w:numId="19">
    <w:abstractNumId w:val="28"/>
  </w:num>
  <w:num w:numId="20">
    <w:abstractNumId w:val="29"/>
  </w:num>
  <w:num w:numId="21">
    <w:abstractNumId w:val="11"/>
  </w:num>
  <w:num w:numId="22">
    <w:abstractNumId w:val="27"/>
  </w:num>
  <w:num w:numId="23">
    <w:abstractNumId w:val="12"/>
  </w:num>
  <w:num w:numId="24">
    <w:abstractNumId w:val="15"/>
  </w:num>
  <w:num w:numId="25">
    <w:abstractNumId w:val="20"/>
  </w:num>
  <w:num w:numId="26">
    <w:abstractNumId w:val="18"/>
  </w:num>
  <w:num w:numId="27">
    <w:abstractNumId w:val="33"/>
  </w:num>
  <w:num w:numId="28">
    <w:abstractNumId w:val="22"/>
  </w:num>
  <w:num w:numId="29">
    <w:abstractNumId w:val="21"/>
  </w:num>
  <w:num w:numId="30">
    <w:abstractNumId w:val="23"/>
  </w:num>
  <w:num w:numId="31">
    <w:abstractNumId w:val="13"/>
  </w:num>
  <w:num w:numId="32">
    <w:abstractNumId w:val="16"/>
  </w:num>
  <w:num w:numId="33">
    <w:abstractNumId w:val="24"/>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46D97"/>
    <w:rsid w:val="000544AB"/>
    <w:rsid w:val="0006023F"/>
    <w:rsid w:val="00071FD6"/>
    <w:rsid w:val="000877BC"/>
    <w:rsid w:val="00087E80"/>
    <w:rsid w:val="000E2501"/>
    <w:rsid w:val="000F2CA6"/>
    <w:rsid w:val="000F34A6"/>
    <w:rsid w:val="00102E03"/>
    <w:rsid w:val="001207EA"/>
    <w:rsid w:val="0012130F"/>
    <w:rsid w:val="001376F3"/>
    <w:rsid w:val="0017750F"/>
    <w:rsid w:val="001C408E"/>
    <w:rsid w:val="001C43B3"/>
    <w:rsid w:val="001D614A"/>
    <w:rsid w:val="001E2E6C"/>
    <w:rsid w:val="001F651B"/>
    <w:rsid w:val="00200EC2"/>
    <w:rsid w:val="00225EEB"/>
    <w:rsid w:val="00243B99"/>
    <w:rsid w:val="0024498C"/>
    <w:rsid w:val="00254863"/>
    <w:rsid w:val="00272699"/>
    <w:rsid w:val="00293D94"/>
    <w:rsid w:val="002A102C"/>
    <w:rsid w:val="002A1EAC"/>
    <w:rsid w:val="002B756D"/>
    <w:rsid w:val="002C61B8"/>
    <w:rsid w:val="002E4188"/>
    <w:rsid w:val="002E7C35"/>
    <w:rsid w:val="00320857"/>
    <w:rsid w:val="003639A9"/>
    <w:rsid w:val="003B0717"/>
    <w:rsid w:val="003C33A4"/>
    <w:rsid w:val="003F6A45"/>
    <w:rsid w:val="00406D48"/>
    <w:rsid w:val="00416B77"/>
    <w:rsid w:val="00425157"/>
    <w:rsid w:val="00442476"/>
    <w:rsid w:val="00456FF9"/>
    <w:rsid w:val="00487E41"/>
    <w:rsid w:val="004902DD"/>
    <w:rsid w:val="004A1D38"/>
    <w:rsid w:val="004B13CB"/>
    <w:rsid w:val="004B650E"/>
    <w:rsid w:val="004E6F6F"/>
    <w:rsid w:val="0050371E"/>
    <w:rsid w:val="00562E32"/>
    <w:rsid w:val="0057565C"/>
    <w:rsid w:val="00585EC0"/>
    <w:rsid w:val="00591135"/>
    <w:rsid w:val="005A559A"/>
    <w:rsid w:val="005B0470"/>
    <w:rsid w:val="005D7220"/>
    <w:rsid w:val="006041D2"/>
    <w:rsid w:val="00647EEB"/>
    <w:rsid w:val="006555D6"/>
    <w:rsid w:val="006928B2"/>
    <w:rsid w:val="006E18ED"/>
    <w:rsid w:val="006E2E1E"/>
    <w:rsid w:val="006E300E"/>
    <w:rsid w:val="00703307"/>
    <w:rsid w:val="00762279"/>
    <w:rsid w:val="007655ED"/>
    <w:rsid w:val="00773910"/>
    <w:rsid w:val="00795B56"/>
    <w:rsid w:val="00795EEB"/>
    <w:rsid w:val="007A2E7B"/>
    <w:rsid w:val="007C1C1B"/>
    <w:rsid w:val="007D0B58"/>
    <w:rsid w:val="007E40FF"/>
    <w:rsid w:val="007E6042"/>
    <w:rsid w:val="00806988"/>
    <w:rsid w:val="00821221"/>
    <w:rsid w:val="008212AE"/>
    <w:rsid w:val="0083192F"/>
    <w:rsid w:val="008618C3"/>
    <w:rsid w:val="00866F29"/>
    <w:rsid w:val="00867902"/>
    <w:rsid w:val="008713B7"/>
    <w:rsid w:val="00877B2D"/>
    <w:rsid w:val="008B3285"/>
    <w:rsid w:val="008B36B6"/>
    <w:rsid w:val="008C2CFB"/>
    <w:rsid w:val="008F237A"/>
    <w:rsid w:val="009246EF"/>
    <w:rsid w:val="00931C3B"/>
    <w:rsid w:val="00934E42"/>
    <w:rsid w:val="00946049"/>
    <w:rsid w:val="0095747B"/>
    <w:rsid w:val="00982EA8"/>
    <w:rsid w:val="009D239F"/>
    <w:rsid w:val="009E7C20"/>
    <w:rsid w:val="00A20E00"/>
    <w:rsid w:val="00A425BC"/>
    <w:rsid w:val="00A624E5"/>
    <w:rsid w:val="00A73FD5"/>
    <w:rsid w:val="00A74A40"/>
    <w:rsid w:val="00AC23FB"/>
    <w:rsid w:val="00AC39E6"/>
    <w:rsid w:val="00AC765F"/>
    <w:rsid w:val="00AD3C0B"/>
    <w:rsid w:val="00B11AD7"/>
    <w:rsid w:val="00B470CB"/>
    <w:rsid w:val="00B7250C"/>
    <w:rsid w:val="00BF6E1A"/>
    <w:rsid w:val="00C12D1C"/>
    <w:rsid w:val="00C228E2"/>
    <w:rsid w:val="00C374DC"/>
    <w:rsid w:val="00CA612B"/>
    <w:rsid w:val="00CA6417"/>
    <w:rsid w:val="00CB136C"/>
    <w:rsid w:val="00D151D9"/>
    <w:rsid w:val="00D27509"/>
    <w:rsid w:val="00D61C13"/>
    <w:rsid w:val="00D96283"/>
    <w:rsid w:val="00DA5A09"/>
    <w:rsid w:val="00DC27B2"/>
    <w:rsid w:val="00DC6CD0"/>
    <w:rsid w:val="00DD58CA"/>
    <w:rsid w:val="00DD5F31"/>
    <w:rsid w:val="00DE391B"/>
    <w:rsid w:val="00E05CE7"/>
    <w:rsid w:val="00E4605A"/>
    <w:rsid w:val="00E46415"/>
    <w:rsid w:val="00E86974"/>
    <w:rsid w:val="00EF069F"/>
    <w:rsid w:val="00EF6F56"/>
    <w:rsid w:val="00F10D5C"/>
    <w:rsid w:val="00F20453"/>
    <w:rsid w:val="00F67628"/>
    <w:rsid w:val="00F765C2"/>
    <w:rsid w:val="00F91565"/>
    <w:rsid w:val="00FD39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5702F"/>
  <w14:defaultImageDpi w14:val="300"/>
  <w15:chartTrackingRefBased/>
  <w15:docId w15:val="{46D656D2-E10E-E244-AA3D-9A28E775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lang w:val="en-US"/>
    </w:rPr>
  </w:style>
  <w:style w:type="paragraph" w:styleId="Titre1">
    <w:name w:val="heading 1"/>
    <w:basedOn w:val="Normal"/>
    <w:next w:val="Normal"/>
    <w:qFormat/>
    <w:pPr>
      <w:jc w:val="center"/>
      <w:outlineLvl w:val="0"/>
    </w:pPr>
    <w:rPr>
      <w:rFonts w:ascii="Arial" w:hAnsi="Arial" w:cs="Arial"/>
      <w:b/>
      <w:bCs/>
      <w:sz w:val="22"/>
      <w:szCs w:val="22"/>
    </w:rPr>
  </w:style>
  <w:style w:type="paragraph" w:styleId="Titre2">
    <w:name w:val="heading 2"/>
    <w:basedOn w:val="Normal"/>
    <w:next w:val="Normal"/>
    <w:qFormat/>
    <w:pPr>
      <w:keepNext/>
      <w:jc w:val="center"/>
      <w:outlineLvl w:val="1"/>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pPr>
      <w:numPr>
        <w:numId w:val="1"/>
      </w:numPr>
    </w:pPr>
    <w:rPr>
      <w:rFonts w:ascii="Times" w:hAnsi="Times" w:cs="Times"/>
    </w:rPr>
  </w:style>
  <w:style w:type="paragraph" w:styleId="Listepuces2">
    <w:name w:val="List Bullet 2"/>
    <w:basedOn w:val="Normal"/>
    <w:autoRedefine/>
    <w:pPr>
      <w:numPr>
        <w:numId w:val="2"/>
      </w:numPr>
    </w:pPr>
    <w:rPr>
      <w:rFonts w:ascii="Times" w:hAnsi="Times" w:cs="Times"/>
    </w:rPr>
  </w:style>
  <w:style w:type="paragraph" w:styleId="Listepuces3">
    <w:name w:val="List Bullet 3"/>
    <w:basedOn w:val="Normal"/>
    <w:autoRedefine/>
    <w:pPr>
      <w:numPr>
        <w:numId w:val="3"/>
      </w:numPr>
    </w:pPr>
    <w:rPr>
      <w:rFonts w:ascii="Times" w:hAnsi="Times" w:cs="Times"/>
    </w:rPr>
  </w:style>
  <w:style w:type="paragraph" w:styleId="Listepuces4">
    <w:name w:val="List Bullet 4"/>
    <w:basedOn w:val="Normal"/>
    <w:autoRedefine/>
    <w:pPr>
      <w:numPr>
        <w:numId w:val="4"/>
      </w:numPr>
    </w:pPr>
    <w:rPr>
      <w:rFonts w:ascii="Times" w:hAnsi="Times" w:cs="Times"/>
    </w:rPr>
  </w:style>
  <w:style w:type="paragraph" w:styleId="Listepuces5">
    <w:name w:val="List Bullet 5"/>
    <w:basedOn w:val="Normal"/>
    <w:autoRedefine/>
    <w:pPr>
      <w:numPr>
        <w:numId w:val="5"/>
      </w:numPr>
    </w:pPr>
    <w:rPr>
      <w:rFonts w:ascii="Times" w:hAnsi="Times" w:cs="Times"/>
    </w:rPr>
  </w:style>
  <w:style w:type="paragraph" w:styleId="Listenumros">
    <w:name w:val="List Number"/>
    <w:basedOn w:val="Normal"/>
    <w:pPr>
      <w:numPr>
        <w:numId w:val="6"/>
      </w:numPr>
    </w:pPr>
    <w:rPr>
      <w:rFonts w:ascii="Times" w:hAnsi="Times" w:cs="Times"/>
    </w:rPr>
  </w:style>
  <w:style w:type="paragraph" w:styleId="Listenumros2">
    <w:name w:val="List Number 2"/>
    <w:basedOn w:val="Normal"/>
    <w:pPr>
      <w:numPr>
        <w:numId w:val="7"/>
      </w:numPr>
    </w:pPr>
    <w:rPr>
      <w:rFonts w:ascii="Times" w:hAnsi="Times" w:cs="Times"/>
    </w:rPr>
  </w:style>
  <w:style w:type="paragraph" w:styleId="Listenumros3">
    <w:name w:val="List Number 3"/>
    <w:basedOn w:val="Normal"/>
    <w:pPr>
      <w:numPr>
        <w:numId w:val="8"/>
      </w:numPr>
    </w:pPr>
    <w:rPr>
      <w:rFonts w:ascii="Times" w:hAnsi="Times" w:cs="Times"/>
    </w:rPr>
  </w:style>
  <w:style w:type="paragraph" w:styleId="Listenumros4">
    <w:name w:val="List Number 4"/>
    <w:basedOn w:val="Normal"/>
    <w:pPr>
      <w:numPr>
        <w:numId w:val="9"/>
      </w:numPr>
    </w:pPr>
    <w:rPr>
      <w:rFonts w:ascii="Times" w:hAnsi="Times" w:cs="Times"/>
    </w:rPr>
  </w:style>
  <w:style w:type="paragraph" w:styleId="Listenumros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 w:val="22"/>
      <w:szCs w:val="22"/>
    </w:rPr>
  </w:style>
  <w:style w:type="paragraph" w:styleId="Retraitcorpsdetexte">
    <w:name w:val="Body Text Indent"/>
    <w:basedOn w:val="Normal"/>
    <w:pPr>
      <w:ind w:left="720"/>
      <w:jc w:val="both"/>
    </w:pPr>
    <w:rPr>
      <w:rFonts w:ascii="Arial" w:hAnsi="Arial" w:cs="Arial"/>
      <w:color w:val="FF0000"/>
      <w:sz w:val="20"/>
      <w:szCs w:val="20"/>
    </w:rPr>
  </w:style>
  <w:style w:type="paragraph" w:styleId="NormalWeb">
    <w:name w:val="Normal (Web)"/>
    <w:basedOn w:val="Normal"/>
    <w:uiPriority w:val="99"/>
    <w:pPr>
      <w:autoSpaceDE/>
      <w:autoSpaceDN/>
      <w:spacing w:before="100" w:beforeAutospacing="1" w:after="100" w:afterAutospacing="1"/>
    </w:pPr>
    <w:rPr>
      <w:rFonts w:ascii="Arial" w:eastAsia="Arial Unicode MS" w:hAnsi="Arial"/>
    </w:rPr>
  </w:style>
  <w:style w:type="paragraph" w:styleId="En-tte">
    <w:name w:val="header"/>
    <w:basedOn w:val="Normal"/>
    <w:pPr>
      <w:tabs>
        <w:tab w:val="center" w:pos="4320"/>
        <w:tab w:val="right" w:pos="8640"/>
      </w:tabs>
    </w:pPr>
  </w:style>
  <w:style w:type="paragraph" w:customStyle="1" w:styleId="DataField10pt">
    <w:name w:val="Data Field 10pt"/>
    <w:basedOn w:val="Normal"/>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Pieddepage">
    <w:name w:val="footer"/>
    <w:basedOn w:val="Normal"/>
    <w:pPr>
      <w:tabs>
        <w:tab w:val="center" w:pos="4320"/>
        <w:tab w:val="right" w:pos="8640"/>
      </w:tabs>
    </w:pPr>
  </w:style>
  <w:style w:type="character" w:styleId="Numrodepage">
    <w:name w:val="page number"/>
    <w:rPr>
      <w:rFonts w:ascii="Arial" w:hAnsi="Arial"/>
      <w:sz w:val="20"/>
      <w:u w:val="single"/>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FormFooterBorder">
    <w:name w:val="FormFooter/Border"/>
    <w:basedOn w:val="Pieddepage"/>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FormFieldCaption">
    <w:name w:val="Form Field Caption"/>
    <w:basedOn w:val="Normal"/>
    <w:qFormat/>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PIHeader">
    <w:name w:val="PI Header"/>
    <w:basedOn w:val="Normal"/>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Pr>
      <w:i w:val="0"/>
    </w:rPr>
  </w:style>
  <w:style w:type="character" w:styleId="Lienhypertexte">
    <w:name w:val="Hyperlink"/>
    <w:rsid w:val="00456FF9"/>
    <w:rPr>
      <w:color w:val="0563C1"/>
      <w:u w:val="single"/>
    </w:rPr>
  </w:style>
  <w:style w:type="character" w:styleId="Mentionnonrsolue">
    <w:name w:val="Unresolved Mention"/>
    <w:uiPriority w:val="99"/>
    <w:semiHidden/>
    <w:unhideWhenUsed/>
    <w:rsid w:val="00456FF9"/>
    <w:rPr>
      <w:color w:val="605E5C"/>
      <w:shd w:val="clear" w:color="auto" w:fill="E1DFDD"/>
    </w:rPr>
  </w:style>
  <w:style w:type="paragraph" w:styleId="Paragraphedeliste">
    <w:name w:val="List Paragraph"/>
    <w:basedOn w:val="Normal"/>
    <w:uiPriority w:val="34"/>
    <w:qFormat/>
    <w:rsid w:val="00C228E2"/>
    <w:pPr>
      <w:ind w:left="720"/>
      <w:contextualSpacing/>
    </w:pPr>
  </w:style>
  <w:style w:type="character" w:styleId="Lienhypertextesuivivisit">
    <w:name w:val="FollowedHyperlink"/>
    <w:basedOn w:val="Policepardfaut"/>
    <w:rsid w:val="000F2CA6"/>
    <w:rPr>
      <w:color w:val="954F72" w:themeColor="followedHyperlink"/>
      <w:u w:val="single"/>
    </w:rPr>
  </w:style>
  <w:style w:type="character" w:styleId="Accentuation">
    <w:name w:val="Emphasis"/>
    <w:basedOn w:val="Policepardfaut"/>
    <w:uiPriority w:val="20"/>
    <w:qFormat/>
    <w:rsid w:val="00D27509"/>
    <w:rPr>
      <w:i/>
      <w:iCs/>
    </w:rPr>
  </w:style>
  <w:style w:type="table" w:styleId="Grilledutableau">
    <w:name w:val="Table Grid"/>
    <w:basedOn w:val="TableauNormal"/>
    <w:rsid w:val="00D2750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D27509"/>
    <w:rPr>
      <w:b/>
      <w:bCs/>
    </w:rPr>
  </w:style>
  <w:style w:type="character" w:customStyle="1" w:styleId="apple-converted-space">
    <w:name w:val="apple-converted-space"/>
    <w:basedOn w:val="Policepardfaut"/>
    <w:rsid w:val="002A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098">
      <w:bodyDiv w:val="1"/>
      <w:marLeft w:val="0"/>
      <w:marRight w:val="0"/>
      <w:marTop w:val="0"/>
      <w:marBottom w:val="0"/>
      <w:divBdr>
        <w:top w:val="none" w:sz="0" w:space="0" w:color="auto"/>
        <w:left w:val="none" w:sz="0" w:space="0" w:color="auto"/>
        <w:bottom w:val="none" w:sz="0" w:space="0" w:color="auto"/>
        <w:right w:val="none" w:sz="0" w:space="0" w:color="auto"/>
      </w:divBdr>
      <w:divsChild>
        <w:div w:id="821849583">
          <w:marLeft w:val="0"/>
          <w:marRight w:val="0"/>
          <w:marTop w:val="0"/>
          <w:marBottom w:val="0"/>
          <w:divBdr>
            <w:top w:val="none" w:sz="0" w:space="0" w:color="auto"/>
            <w:left w:val="none" w:sz="0" w:space="0" w:color="auto"/>
            <w:bottom w:val="none" w:sz="0" w:space="0" w:color="auto"/>
            <w:right w:val="none" w:sz="0" w:space="0" w:color="auto"/>
          </w:divBdr>
          <w:divsChild>
            <w:div w:id="1628701644">
              <w:marLeft w:val="0"/>
              <w:marRight w:val="0"/>
              <w:marTop w:val="0"/>
              <w:marBottom w:val="0"/>
              <w:divBdr>
                <w:top w:val="none" w:sz="0" w:space="0" w:color="auto"/>
                <w:left w:val="none" w:sz="0" w:space="0" w:color="auto"/>
                <w:bottom w:val="none" w:sz="0" w:space="0" w:color="auto"/>
                <w:right w:val="none" w:sz="0" w:space="0" w:color="auto"/>
              </w:divBdr>
              <w:divsChild>
                <w:div w:id="3812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3865">
      <w:bodyDiv w:val="1"/>
      <w:marLeft w:val="0"/>
      <w:marRight w:val="0"/>
      <w:marTop w:val="0"/>
      <w:marBottom w:val="0"/>
      <w:divBdr>
        <w:top w:val="none" w:sz="0" w:space="0" w:color="auto"/>
        <w:left w:val="none" w:sz="0" w:space="0" w:color="auto"/>
        <w:bottom w:val="none" w:sz="0" w:space="0" w:color="auto"/>
        <w:right w:val="none" w:sz="0" w:space="0" w:color="auto"/>
      </w:divBdr>
      <w:divsChild>
        <w:div w:id="1628046550">
          <w:marLeft w:val="0"/>
          <w:marRight w:val="0"/>
          <w:marTop w:val="0"/>
          <w:marBottom w:val="0"/>
          <w:divBdr>
            <w:top w:val="none" w:sz="0" w:space="0" w:color="auto"/>
            <w:left w:val="none" w:sz="0" w:space="0" w:color="auto"/>
            <w:bottom w:val="none" w:sz="0" w:space="0" w:color="auto"/>
            <w:right w:val="none" w:sz="0" w:space="0" w:color="auto"/>
          </w:divBdr>
          <w:divsChild>
            <w:div w:id="1816559040">
              <w:marLeft w:val="0"/>
              <w:marRight w:val="0"/>
              <w:marTop w:val="0"/>
              <w:marBottom w:val="0"/>
              <w:divBdr>
                <w:top w:val="none" w:sz="0" w:space="0" w:color="auto"/>
                <w:left w:val="none" w:sz="0" w:space="0" w:color="auto"/>
                <w:bottom w:val="none" w:sz="0" w:space="0" w:color="auto"/>
                <w:right w:val="none" w:sz="0" w:space="0" w:color="auto"/>
              </w:divBdr>
              <w:divsChild>
                <w:div w:id="1772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2280">
      <w:bodyDiv w:val="1"/>
      <w:marLeft w:val="0"/>
      <w:marRight w:val="0"/>
      <w:marTop w:val="0"/>
      <w:marBottom w:val="0"/>
      <w:divBdr>
        <w:top w:val="none" w:sz="0" w:space="0" w:color="auto"/>
        <w:left w:val="none" w:sz="0" w:space="0" w:color="auto"/>
        <w:bottom w:val="none" w:sz="0" w:space="0" w:color="auto"/>
        <w:right w:val="none" w:sz="0" w:space="0" w:color="auto"/>
      </w:divBdr>
      <w:divsChild>
        <w:div w:id="620960538">
          <w:marLeft w:val="0"/>
          <w:marRight w:val="0"/>
          <w:marTop w:val="0"/>
          <w:marBottom w:val="0"/>
          <w:divBdr>
            <w:top w:val="none" w:sz="0" w:space="0" w:color="auto"/>
            <w:left w:val="none" w:sz="0" w:space="0" w:color="auto"/>
            <w:bottom w:val="none" w:sz="0" w:space="0" w:color="auto"/>
            <w:right w:val="none" w:sz="0" w:space="0" w:color="auto"/>
          </w:divBdr>
          <w:divsChild>
            <w:div w:id="232854887">
              <w:marLeft w:val="0"/>
              <w:marRight w:val="0"/>
              <w:marTop w:val="0"/>
              <w:marBottom w:val="0"/>
              <w:divBdr>
                <w:top w:val="none" w:sz="0" w:space="0" w:color="auto"/>
                <w:left w:val="none" w:sz="0" w:space="0" w:color="auto"/>
                <w:bottom w:val="none" w:sz="0" w:space="0" w:color="auto"/>
                <w:right w:val="none" w:sz="0" w:space="0" w:color="auto"/>
              </w:divBdr>
              <w:divsChild>
                <w:div w:id="17259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0644">
      <w:bodyDiv w:val="1"/>
      <w:marLeft w:val="0"/>
      <w:marRight w:val="0"/>
      <w:marTop w:val="0"/>
      <w:marBottom w:val="0"/>
      <w:divBdr>
        <w:top w:val="none" w:sz="0" w:space="0" w:color="auto"/>
        <w:left w:val="none" w:sz="0" w:space="0" w:color="auto"/>
        <w:bottom w:val="none" w:sz="0" w:space="0" w:color="auto"/>
        <w:right w:val="none" w:sz="0" w:space="0" w:color="auto"/>
      </w:divBdr>
      <w:divsChild>
        <w:div w:id="901136300">
          <w:marLeft w:val="0"/>
          <w:marRight w:val="0"/>
          <w:marTop w:val="0"/>
          <w:marBottom w:val="0"/>
          <w:divBdr>
            <w:top w:val="none" w:sz="0" w:space="0" w:color="auto"/>
            <w:left w:val="none" w:sz="0" w:space="0" w:color="auto"/>
            <w:bottom w:val="none" w:sz="0" w:space="0" w:color="auto"/>
            <w:right w:val="none" w:sz="0" w:space="0" w:color="auto"/>
          </w:divBdr>
          <w:divsChild>
            <w:div w:id="101190795">
              <w:marLeft w:val="0"/>
              <w:marRight w:val="0"/>
              <w:marTop w:val="0"/>
              <w:marBottom w:val="0"/>
              <w:divBdr>
                <w:top w:val="none" w:sz="0" w:space="0" w:color="auto"/>
                <w:left w:val="none" w:sz="0" w:space="0" w:color="auto"/>
                <w:bottom w:val="none" w:sz="0" w:space="0" w:color="auto"/>
                <w:right w:val="none" w:sz="0" w:space="0" w:color="auto"/>
              </w:divBdr>
              <w:divsChild>
                <w:div w:id="67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3405">
      <w:bodyDiv w:val="1"/>
      <w:marLeft w:val="0"/>
      <w:marRight w:val="0"/>
      <w:marTop w:val="0"/>
      <w:marBottom w:val="0"/>
      <w:divBdr>
        <w:top w:val="none" w:sz="0" w:space="0" w:color="auto"/>
        <w:left w:val="none" w:sz="0" w:space="0" w:color="auto"/>
        <w:bottom w:val="none" w:sz="0" w:space="0" w:color="auto"/>
        <w:right w:val="none" w:sz="0" w:space="0" w:color="auto"/>
      </w:divBdr>
      <w:divsChild>
        <w:div w:id="568688611">
          <w:marLeft w:val="0"/>
          <w:marRight w:val="0"/>
          <w:marTop w:val="0"/>
          <w:marBottom w:val="0"/>
          <w:divBdr>
            <w:top w:val="none" w:sz="0" w:space="0" w:color="auto"/>
            <w:left w:val="none" w:sz="0" w:space="0" w:color="auto"/>
            <w:bottom w:val="none" w:sz="0" w:space="0" w:color="auto"/>
            <w:right w:val="none" w:sz="0" w:space="0" w:color="auto"/>
          </w:divBdr>
          <w:divsChild>
            <w:div w:id="1809397728">
              <w:marLeft w:val="0"/>
              <w:marRight w:val="0"/>
              <w:marTop w:val="0"/>
              <w:marBottom w:val="0"/>
              <w:divBdr>
                <w:top w:val="none" w:sz="0" w:space="0" w:color="auto"/>
                <w:left w:val="none" w:sz="0" w:space="0" w:color="auto"/>
                <w:bottom w:val="none" w:sz="0" w:space="0" w:color="auto"/>
                <w:right w:val="none" w:sz="0" w:space="0" w:color="auto"/>
              </w:divBdr>
              <w:divsChild>
                <w:div w:id="5157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370">
      <w:bodyDiv w:val="1"/>
      <w:marLeft w:val="0"/>
      <w:marRight w:val="0"/>
      <w:marTop w:val="0"/>
      <w:marBottom w:val="0"/>
      <w:divBdr>
        <w:top w:val="none" w:sz="0" w:space="0" w:color="auto"/>
        <w:left w:val="none" w:sz="0" w:space="0" w:color="auto"/>
        <w:bottom w:val="none" w:sz="0" w:space="0" w:color="auto"/>
        <w:right w:val="none" w:sz="0" w:space="0" w:color="auto"/>
      </w:divBdr>
      <w:divsChild>
        <w:div w:id="2118982129">
          <w:marLeft w:val="0"/>
          <w:marRight w:val="0"/>
          <w:marTop w:val="0"/>
          <w:marBottom w:val="0"/>
          <w:divBdr>
            <w:top w:val="none" w:sz="0" w:space="0" w:color="auto"/>
            <w:left w:val="none" w:sz="0" w:space="0" w:color="auto"/>
            <w:bottom w:val="none" w:sz="0" w:space="0" w:color="auto"/>
            <w:right w:val="none" w:sz="0" w:space="0" w:color="auto"/>
          </w:divBdr>
          <w:divsChild>
            <w:div w:id="1373338693">
              <w:marLeft w:val="0"/>
              <w:marRight w:val="0"/>
              <w:marTop w:val="0"/>
              <w:marBottom w:val="0"/>
              <w:divBdr>
                <w:top w:val="none" w:sz="0" w:space="0" w:color="auto"/>
                <w:left w:val="none" w:sz="0" w:space="0" w:color="auto"/>
                <w:bottom w:val="none" w:sz="0" w:space="0" w:color="auto"/>
                <w:right w:val="none" w:sz="0" w:space="0" w:color="auto"/>
              </w:divBdr>
              <w:divsChild>
                <w:div w:id="20583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3593">
      <w:bodyDiv w:val="1"/>
      <w:marLeft w:val="0"/>
      <w:marRight w:val="0"/>
      <w:marTop w:val="0"/>
      <w:marBottom w:val="0"/>
      <w:divBdr>
        <w:top w:val="none" w:sz="0" w:space="0" w:color="auto"/>
        <w:left w:val="none" w:sz="0" w:space="0" w:color="auto"/>
        <w:bottom w:val="none" w:sz="0" w:space="0" w:color="auto"/>
        <w:right w:val="none" w:sz="0" w:space="0" w:color="auto"/>
      </w:divBdr>
    </w:div>
    <w:div w:id="1352491192">
      <w:bodyDiv w:val="1"/>
      <w:marLeft w:val="0"/>
      <w:marRight w:val="0"/>
      <w:marTop w:val="0"/>
      <w:marBottom w:val="0"/>
      <w:divBdr>
        <w:top w:val="none" w:sz="0" w:space="0" w:color="auto"/>
        <w:left w:val="none" w:sz="0" w:space="0" w:color="auto"/>
        <w:bottom w:val="none" w:sz="0" w:space="0" w:color="auto"/>
        <w:right w:val="none" w:sz="0" w:space="0" w:color="auto"/>
      </w:divBdr>
      <w:divsChild>
        <w:div w:id="821973006">
          <w:marLeft w:val="0"/>
          <w:marRight w:val="0"/>
          <w:marTop w:val="0"/>
          <w:marBottom w:val="0"/>
          <w:divBdr>
            <w:top w:val="none" w:sz="0" w:space="0" w:color="auto"/>
            <w:left w:val="none" w:sz="0" w:space="0" w:color="auto"/>
            <w:bottom w:val="none" w:sz="0" w:space="0" w:color="auto"/>
            <w:right w:val="none" w:sz="0" w:space="0" w:color="auto"/>
          </w:divBdr>
          <w:divsChild>
            <w:div w:id="1218469015">
              <w:marLeft w:val="0"/>
              <w:marRight w:val="0"/>
              <w:marTop w:val="0"/>
              <w:marBottom w:val="0"/>
              <w:divBdr>
                <w:top w:val="none" w:sz="0" w:space="0" w:color="auto"/>
                <w:left w:val="none" w:sz="0" w:space="0" w:color="auto"/>
                <w:bottom w:val="none" w:sz="0" w:space="0" w:color="auto"/>
                <w:right w:val="none" w:sz="0" w:space="0" w:color="auto"/>
              </w:divBdr>
              <w:divsChild>
                <w:div w:id="15390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40449">
      <w:bodyDiv w:val="1"/>
      <w:marLeft w:val="0"/>
      <w:marRight w:val="0"/>
      <w:marTop w:val="0"/>
      <w:marBottom w:val="0"/>
      <w:divBdr>
        <w:top w:val="none" w:sz="0" w:space="0" w:color="auto"/>
        <w:left w:val="none" w:sz="0" w:space="0" w:color="auto"/>
        <w:bottom w:val="none" w:sz="0" w:space="0" w:color="auto"/>
        <w:right w:val="none" w:sz="0" w:space="0" w:color="auto"/>
      </w:divBdr>
    </w:div>
    <w:div w:id="1865364417">
      <w:bodyDiv w:val="1"/>
      <w:marLeft w:val="0"/>
      <w:marRight w:val="0"/>
      <w:marTop w:val="0"/>
      <w:marBottom w:val="0"/>
      <w:divBdr>
        <w:top w:val="none" w:sz="0" w:space="0" w:color="auto"/>
        <w:left w:val="none" w:sz="0" w:space="0" w:color="auto"/>
        <w:bottom w:val="none" w:sz="0" w:space="0" w:color="auto"/>
        <w:right w:val="none" w:sz="0" w:space="0" w:color="auto"/>
      </w:divBdr>
      <w:divsChild>
        <w:div w:id="329597646">
          <w:marLeft w:val="0"/>
          <w:marRight w:val="0"/>
          <w:marTop w:val="0"/>
          <w:marBottom w:val="0"/>
          <w:divBdr>
            <w:top w:val="none" w:sz="0" w:space="0" w:color="auto"/>
            <w:left w:val="none" w:sz="0" w:space="0" w:color="auto"/>
            <w:bottom w:val="none" w:sz="0" w:space="0" w:color="auto"/>
            <w:right w:val="none" w:sz="0" w:space="0" w:color="auto"/>
          </w:divBdr>
          <w:divsChild>
            <w:div w:id="1672872520">
              <w:marLeft w:val="0"/>
              <w:marRight w:val="0"/>
              <w:marTop w:val="0"/>
              <w:marBottom w:val="0"/>
              <w:divBdr>
                <w:top w:val="none" w:sz="0" w:space="0" w:color="auto"/>
                <w:left w:val="none" w:sz="0" w:space="0" w:color="auto"/>
                <w:bottom w:val="none" w:sz="0" w:space="0" w:color="auto"/>
                <w:right w:val="none" w:sz="0" w:space="0" w:color="auto"/>
              </w:divBdr>
              <w:divsChild>
                <w:div w:id="17732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717</Words>
  <Characters>3949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PHS 398 (Rev. 11/07), Biographical Sketch Format Page</vt:lpstr>
      <vt:lpstr>PHS 398 (Rev. 11/07), Biographical Sketch Format Page</vt:lpstr>
    </vt:vector>
  </TitlesOfParts>
  <Company>DHHS/PHS/NIH</Company>
  <LinksUpToDate>false</LinksUpToDate>
  <CharactersWithSpaces>4657</CharactersWithSpaces>
  <SharedDoc>false</SharedDoc>
  <HLinks>
    <vt:vector size="90" baseType="variant">
      <vt:variant>
        <vt:i4>524294</vt:i4>
      </vt:variant>
      <vt:variant>
        <vt:i4>42</vt:i4>
      </vt:variant>
      <vt:variant>
        <vt:i4>0</vt:i4>
      </vt:variant>
      <vt:variant>
        <vt:i4>5</vt:i4>
      </vt:variant>
      <vt:variant>
        <vt:lpwstr>https://pubmed.ncbi.nlm.nih.gov/36278784/</vt:lpwstr>
      </vt:variant>
      <vt:variant>
        <vt:lpwstr/>
      </vt:variant>
      <vt:variant>
        <vt:i4>655369</vt:i4>
      </vt:variant>
      <vt:variant>
        <vt:i4>39</vt:i4>
      </vt:variant>
      <vt:variant>
        <vt:i4>0</vt:i4>
      </vt:variant>
      <vt:variant>
        <vt:i4>5</vt:i4>
      </vt:variant>
      <vt:variant>
        <vt:lpwstr>https://pubmed.ncbi.nlm.nih.gov/33875602/</vt:lpwstr>
      </vt:variant>
      <vt:variant>
        <vt:lpwstr/>
      </vt:variant>
      <vt:variant>
        <vt:i4>917510</vt:i4>
      </vt:variant>
      <vt:variant>
        <vt:i4>36</vt:i4>
      </vt:variant>
      <vt:variant>
        <vt:i4>0</vt:i4>
      </vt:variant>
      <vt:variant>
        <vt:i4>5</vt:i4>
      </vt:variant>
      <vt:variant>
        <vt:lpwstr>https://pubmed.ncbi.nlm.nih.gov/33127441/</vt:lpwstr>
      </vt:variant>
      <vt:variant>
        <vt:lpwstr/>
      </vt:variant>
      <vt:variant>
        <vt:i4>720902</vt:i4>
      </vt:variant>
      <vt:variant>
        <vt:i4>33</vt:i4>
      </vt:variant>
      <vt:variant>
        <vt:i4>0</vt:i4>
      </vt:variant>
      <vt:variant>
        <vt:i4>5</vt:i4>
      </vt:variant>
      <vt:variant>
        <vt:lpwstr>https://pubmed.ncbi.nlm.nih.gov/29581272/</vt:lpwstr>
      </vt:variant>
      <vt:variant>
        <vt:lpwstr/>
      </vt:variant>
      <vt:variant>
        <vt:i4>327694</vt:i4>
      </vt:variant>
      <vt:variant>
        <vt:i4>30</vt:i4>
      </vt:variant>
      <vt:variant>
        <vt:i4>0</vt:i4>
      </vt:variant>
      <vt:variant>
        <vt:i4>5</vt:i4>
      </vt:variant>
      <vt:variant>
        <vt:lpwstr>https://pubmed.ncbi.nlm.nih.gov/28319610/</vt:lpwstr>
      </vt:variant>
      <vt:variant>
        <vt:lpwstr/>
      </vt:variant>
      <vt:variant>
        <vt:i4>655361</vt:i4>
      </vt:variant>
      <vt:variant>
        <vt:i4>27</vt:i4>
      </vt:variant>
      <vt:variant>
        <vt:i4>0</vt:i4>
      </vt:variant>
      <vt:variant>
        <vt:i4>5</vt:i4>
      </vt:variant>
      <vt:variant>
        <vt:lpwstr>https://pubmed.ncbi.nlm.nih.gov/25646445/</vt:lpwstr>
      </vt:variant>
      <vt:variant>
        <vt:lpwstr/>
      </vt:variant>
      <vt:variant>
        <vt:i4>393222</vt:i4>
      </vt:variant>
      <vt:variant>
        <vt:i4>24</vt:i4>
      </vt:variant>
      <vt:variant>
        <vt:i4>0</vt:i4>
      </vt:variant>
      <vt:variant>
        <vt:i4>5</vt:i4>
      </vt:variant>
      <vt:variant>
        <vt:lpwstr>https://pubmed.ncbi.nlm.nih.gov/24808139/</vt:lpwstr>
      </vt:variant>
      <vt:variant>
        <vt:lpwstr/>
      </vt:variant>
      <vt:variant>
        <vt:i4>589826</vt:i4>
      </vt:variant>
      <vt:variant>
        <vt:i4>21</vt:i4>
      </vt:variant>
      <vt:variant>
        <vt:i4>0</vt:i4>
      </vt:variant>
      <vt:variant>
        <vt:i4>5</vt:i4>
      </vt:variant>
      <vt:variant>
        <vt:lpwstr>https://pubmed.ncbi.nlm.nih.gov/24233561/</vt:lpwstr>
      </vt:variant>
      <vt:variant>
        <vt:lpwstr/>
      </vt:variant>
      <vt:variant>
        <vt:i4>196611</vt:i4>
      </vt:variant>
      <vt:variant>
        <vt:i4>18</vt:i4>
      </vt:variant>
      <vt:variant>
        <vt:i4>0</vt:i4>
      </vt:variant>
      <vt:variant>
        <vt:i4>5</vt:i4>
      </vt:variant>
      <vt:variant>
        <vt:lpwstr>https://pubmed.ncbi.nlm.nih.gov/23385200/</vt:lpwstr>
      </vt:variant>
      <vt:variant>
        <vt:lpwstr/>
      </vt:variant>
      <vt:variant>
        <vt:i4>917506</vt:i4>
      </vt:variant>
      <vt:variant>
        <vt:i4>15</vt:i4>
      </vt:variant>
      <vt:variant>
        <vt:i4>0</vt:i4>
      </vt:variant>
      <vt:variant>
        <vt:i4>5</vt:i4>
      </vt:variant>
      <vt:variant>
        <vt:lpwstr>https://pubmed.ncbi.nlm.nih.gov/22095728/</vt:lpwstr>
      </vt:variant>
      <vt:variant>
        <vt:lpwstr/>
      </vt:variant>
      <vt:variant>
        <vt:i4>655369</vt:i4>
      </vt:variant>
      <vt:variant>
        <vt:i4>12</vt:i4>
      </vt:variant>
      <vt:variant>
        <vt:i4>0</vt:i4>
      </vt:variant>
      <vt:variant>
        <vt:i4>5</vt:i4>
      </vt:variant>
      <vt:variant>
        <vt:lpwstr>https://pubmed.ncbi.nlm.nih.gov/33875602/</vt:lpwstr>
      </vt:variant>
      <vt:variant>
        <vt:lpwstr/>
      </vt:variant>
      <vt:variant>
        <vt:i4>917515</vt:i4>
      </vt:variant>
      <vt:variant>
        <vt:i4>9</vt:i4>
      </vt:variant>
      <vt:variant>
        <vt:i4>0</vt:i4>
      </vt:variant>
      <vt:variant>
        <vt:i4>5</vt:i4>
      </vt:variant>
      <vt:variant>
        <vt:lpwstr>https://pubmed.ncbi.nlm.nih.gov/34483880/</vt:lpwstr>
      </vt:variant>
      <vt:variant>
        <vt:lpwstr/>
      </vt:variant>
      <vt:variant>
        <vt:i4>327694</vt:i4>
      </vt:variant>
      <vt:variant>
        <vt:i4>6</vt:i4>
      </vt:variant>
      <vt:variant>
        <vt:i4>0</vt:i4>
      </vt:variant>
      <vt:variant>
        <vt:i4>5</vt:i4>
      </vt:variant>
      <vt:variant>
        <vt:lpwstr>https://pubmed.ncbi.nlm.nih.gov/28319610/</vt:lpwstr>
      </vt:variant>
      <vt:variant>
        <vt:lpwstr/>
      </vt:variant>
      <vt:variant>
        <vt:i4>655361</vt:i4>
      </vt:variant>
      <vt:variant>
        <vt:i4>3</vt:i4>
      </vt:variant>
      <vt:variant>
        <vt:i4>0</vt:i4>
      </vt:variant>
      <vt:variant>
        <vt:i4>5</vt:i4>
      </vt:variant>
      <vt:variant>
        <vt:lpwstr>https://pubmed.ncbi.nlm.nih.gov/25646445/</vt:lpwstr>
      </vt:variant>
      <vt:variant>
        <vt:lpwstr/>
      </vt:variant>
      <vt:variant>
        <vt:i4>917506</vt:i4>
      </vt:variant>
      <vt:variant>
        <vt:i4>0</vt:i4>
      </vt:variant>
      <vt:variant>
        <vt:i4>0</vt:i4>
      </vt:variant>
      <vt:variant>
        <vt:i4>5</vt:i4>
      </vt:variant>
      <vt:variant>
        <vt:lpwstr>https://pubmed.ncbi.nlm.nih.gov/22095728/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11/07), Biographical Sketch Format Page</dc:title>
  <dc:subject>DHHS, Public Health Service Grant Application</dc:subject>
  <dc:creator>Office of Extramural Programs</dc:creator>
  <cp:keywords>PHS Grant Application, PHS 398 (Rev. 11/07), Biographical Sketch Format Page</cp:keywords>
  <dc:description/>
  <cp:lastModifiedBy>Carine ALI</cp:lastModifiedBy>
  <cp:revision>4</cp:revision>
  <cp:lastPrinted>2004-10-05T11:04:00Z</cp:lastPrinted>
  <dcterms:created xsi:type="dcterms:W3CDTF">2024-08-15T09:02:00Z</dcterms:created>
  <dcterms:modified xsi:type="dcterms:W3CDTF">2024-08-28T06:53:00Z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-1499457407</vt:i4>
  </property>
  <property fmtid="{D5CDD505-2E9C-101B-9397-08002B2CF9AE}" pid="3" name="_EmailSubject">
    <vt:lpwstr>PHS 398 Instructions and Forms</vt:lpwstr>
  </property>
  <property fmtid="{D5CDD505-2E9C-101B-9397-08002B2CF9AE}" pid="4" name="_AuthorEmail">
    <vt:lpwstr>GoodnigJ@OD.NIH.GOV</vt:lpwstr>
  </property>
  <property fmtid="{D5CDD505-2E9C-101B-9397-08002B2CF9AE}" pid="5" name="_AuthorEmailDisplayName">
    <vt:lpwstr>Goodnight, JoAnne (NIH/OD)</vt:lpwstr>
  </property>
  <property fmtid="{D5CDD505-2E9C-101B-9397-08002B2CF9AE}" pid="6" name="_PreviousAdHocReviewCycleID">
    <vt:i4>1685714792</vt:i4>
  </property>
  <property fmtid="{D5CDD505-2E9C-101B-9397-08002B2CF9AE}" pid="7" name="_ReviewingToolsShownOnce">
    <vt:lpwstr/>
  </property>
</Properties>
</file>