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328"/>
        <w:gridCol w:w="5328"/>
      </w:tblGrid>
      <w:tr w:rsidR="00E86974" w:rsidRPr="00C53698" w14:paraId="55056819" w14:textId="77777777">
        <w:trPr>
          <w:trHeight w:hRule="exact" w:val="979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5829C207" w14:textId="78B87B4D" w:rsidR="00E86974" w:rsidRPr="00C53698" w:rsidRDefault="00E86974" w:rsidP="00804B70">
            <w:pPr>
              <w:pStyle w:val="HeadNoteNotItalics"/>
              <w:jc w:val="left"/>
              <w:rPr>
                <w:sz w:val="22"/>
                <w:szCs w:val="22"/>
              </w:rPr>
            </w:pPr>
          </w:p>
        </w:tc>
      </w:tr>
      <w:tr w:rsidR="00E86974" w:rsidRPr="00C53698" w14:paraId="40A82E8F" w14:textId="77777777">
        <w:trPr>
          <w:trHeight w:hRule="exact" w:val="216"/>
          <w:jc w:val="center"/>
        </w:trPr>
        <w:tc>
          <w:tcPr>
            <w:tcW w:w="1065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B7773F4" w14:textId="77777777" w:rsidR="00E86974" w:rsidRPr="00C53698" w:rsidRDefault="00E869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974" w:rsidRPr="00C53698" w14:paraId="126DE687" w14:textId="77777777" w:rsidTr="00982EA8">
        <w:trPr>
          <w:trHeight w:val="214"/>
          <w:jc w:val="center"/>
        </w:trPr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0F0EF267" w14:textId="77777777" w:rsidR="00E86974" w:rsidRPr="00C53698" w:rsidRDefault="00E86974">
            <w:pPr>
              <w:pStyle w:val="FormFieldCaption"/>
              <w:rPr>
                <w:sz w:val="22"/>
                <w:szCs w:val="22"/>
              </w:rPr>
            </w:pPr>
            <w:r w:rsidRPr="00C53698">
              <w:rPr>
                <w:sz w:val="22"/>
                <w:szCs w:val="22"/>
              </w:rPr>
              <w:t>NAME</w:t>
            </w:r>
          </w:p>
          <w:p w14:paraId="4B7613B6" w14:textId="44789CEE" w:rsidR="00E86974" w:rsidRPr="00C53698" w:rsidRDefault="00851421">
            <w:pPr>
              <w:pStyle w:val="DataField11pt-Single"/>
              <w:rPr>
                <w:szCs w:val="22"/>
              </w:rPr>
            </w:pPr>
            <w:r w:rsidRPr="00C53698">
              <w:rPr>
                <w:szCs w:val="22"/>
              </w:rPr>
              <w:t>Fournier</w:t>
            </w:r>
            <w:r w:rsidR="00D27509" w:rsidRPr="00C53698">
              <w:rPr>
                <w:szCs w:val="22"/>
              </w:rPr>
              <w:t xml:space="preserve">, </w:t>
            </w:r>
            <w:r w:rsidRPr="00C53698">
              <w:rPr>
                <w:szCs w:val="22"/>
              </w:rPr>
              <w:t>Antoine</w:t>
            </w:r>
          </w:p>
        </w:tc>
        <w:tc>
          <w:tcPr>
            <w:tcW w:w="53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0BDF1319" w14:textId="77777777" w:rsidR="00E86974" w:rsidRPr="00C53698" w:rsidRDefault="00E86974">
            <w:pPr>
              <w:pStyle w:val="FormFieldCaption"/>
              <w:rPr>
                <w:sz w:val="22"/>
                <w:szCs w:val="22"/>
                <w:lang w:val="fr-CA"/>
              </w:rPr>
            </w:pPr>
            <w:r w:rsidRPr="00C53698">
              <w:rPr>
                <w:sz w:val="22"/>
                <w:szCs w:val="22"/>
                <w:lang w:val="fr-CA"/>
              </w:rPr>
              <w:t>POSITION TITLE</w:t>
            </w:r>
          </w:p>
          <w:p w14:paraId="07EC61BB" w14:textId="7E4D63BA" w:rsidR="00E86974" w:rsidRPr="00C53698" w:rsidRDefault="00851421">
            <w:pPr>
              <w:pStyle w:val="DataField11pt-Single"/>
              <w:rPr>
                <w:szCs w:val="22"/>
                <w:lang w:val="fr-CA"/>
              </w:rPr>
            </w:pPr>
            <w:r w:rsidRPr="00C53698">
              <w:rPr>
                <w:szCs w:val="22"/>
                <w:lang w:val="fr-CA"/>
              </w:rPr>
              <w:t>Chargé de recherche de classe normale</w:t>
            </w:r>
          </w:p>
        </w:tc>
      </w:tr>
    </w:tbl>
    <w:p w14:paraId="2F8F393C" w14:textId="4D89768B" w:rsidR="00D27509" w:rsidRPr="00C53698" w:rsidRDefault="00D27509" w:rsidP="00D27509">
      <w:pPr>
        <w:pBdr>
          <w:between w:val="single" w:sz="4" w:space="1" w:color="auto"/>
        </w:pBdr>
        <w:tabs>
          <w:tab w:val="left" w:pos="270"/>
        </w:tabs>
        <w:spacing w:after="160"/>
        <w:ind w:firstLine="142"/>
        <w:rPr>
          <w:rFonts w:ascii="Arial" w:hAnsi="Arial" w:cs="Arial"/>
          <w:sz w:val="22"/>
          <w:szCs w:val="22"/>
          <w:lang w:val="fr-CA"/>
        </w:rPr>
      </w:pPr>
    </w:p>
    <w:tbl>
      <w:tblPr>
        <w:tblStyle w:val="Grilledutableau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130"/>
        <w:gridCol w:w="1530"/>
        <w:gridCol w:w="1584"/>
        <w:gridCol w:w="2592"/>
      </w:tblGrid>
      <w:tr w:rsidR="00D27509" w:rsidRPr="00C53698" w14:paraId="29161B73" w14:textId="77777777" w:rsidTr="00D27509">
        <w:trPr>
          <w:cantSplit/>
          <w:tblHeader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3903C" w14:textId="77777777" w:rsidR="00D27509" w:rsidRPr="00C53698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C53698">
              <w:rPr>
                <w:sz w:val="20"/>
                <w:szCs w:val="20"/>
              </w:rPr>
              <w:t>INSTITUTION AND LOCATION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114AE" w14:textId="77777777" w:rsidR="00D27509" w:rsidRPr="00C53698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C53698">
              <w:rPr>
                <w:sz w:val="20"/>
                <w:szCs w:val="20"/>
              </w:rPr>
              <w:t>DEGREE</w:t>
            </w:r>
          </w:p>
          <w:p w14:paraId="46532A9B" w14:textId="77777777" w:rsidR="00D27509" w:rsidRPr="00C53698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C53698">
              <w:rPr>
                <w:rStyle w:val="Accentuation"/>
                <w:sz w:val="20"/>
                <w:szCs w:val="20"/>
              </w:rPr>
              <w:t>(if applicable)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65C83" w14:textId="77777777" w:rsidR="00D27509" w:rsidRPr="00C53698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C53698">
              <w:rPr>
                <w:sz w:val="20"/>
                <w:szCs w:val="20"/>
              </w:rPr>
              <w:t>Completion Date</w:t>
            </w:r>
          </w:p>
          <w:p w14:paraId="4668167C" w14:textId="77777777" w:rsidR="00D27509" w:rsidRPr="00C53698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C53698">
              <w:rPr>
                <w:sz w:val="20"/>
                <w:szCs w:val="20"/>
              </w:rPr>
              <w:t>MM/YYYY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3677E" w14:textId="77777777" w:rsidR="00D27509" w:rsidRPr="00C53698" w:rsidRDefault="00D27509" w:rsidP="00FE6ED7">
            <w:pPr>
              <w:pStyle w:val="FormFieldCaption"/>
              <w:jc w:val="center"/>
              <w:rPr>
                <w:sz w:val="20"/>
                <w:szCs w:val="20"/>
              </w:rPr>
            </w:pPr>
            <w:r w:rsidRPr="00C53698">
              <w:rPr>
                <w:sz w:val="20"/>
                <w:szCs w:val="20"/>
              </w:rPr>
              <w:t>FIELD OF STUDY</w:t>
            </w:r>
          </w:p>
        </w:tc>
      </w:tr>
      <w:tr w:rsidR="00D27509" w:rsidRPr="00C53698" w14:paraId="236A0F4B" w14:textId="77777777" w:rsidTr="00D27509">
        <w:trPr>
          <w:cantSplit/>
          <w:trHeight w:val="395"/>
        </w:trPr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5027D9FA" w14:textId="74075746" w:rsidR="00D27509" w:rsidRPr="00C53698" w:rsidRDefault="00851421" w:rsidP="00FE6ED7">
            <w:pPr>
              <w:pStyle w:val="DataField11pt-Single"/>
              <w:jc w:val="both"/>
              <w:rPr>
                <w:sz w:val="20"/>
              </w:rPr>
            </w:pPr>
            <w:r w:rsidRPr="00C53698">
              <w:rPr>
                <w:sz w:val="20"/>
              </w:rPr>
              <w:t xml:space="preserve">Caen Normandy University </w:t>
            </w:r>
            <w:r w:rsidR="00D27509" w:rsidRPr="00C53698">
              <w:rPr>
                <w:sz w:val="20"/>
              </w:rPr>
              <w:t>(France)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3E22570" w14:textId="77777777" w:rsidR="00D27509" w:rsidRPr="00C53698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C53698">
              <w:rPr>
                <w:sz w:val="20"/>
              </w:rPr>
              <w:t>PhD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5C2F675" w14:textId="31DF45F8" w:rsidR="00D27509" w:rsidRPr="00C53698" w:rsidRDefault="00851421" w:rsidP="00FE6ED7">
            <w:pPr>
              <w:pStyle w:val="DataField11pt-Single"/>
              <w:jc w:val="center"/>
              <w:rPr>
                <w:sz w:val="20"/>
              </w:rPr>
            </w:pPr>
            <w:r w:rsidRPr="00C53698">
              <w:rPr>
                <w:sz w:val="20"/>
              </w:rPr>
              <w:t>2017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1375A5E5" w14:textId="0A1BC7EC" w:rsidR="00D27509" w:rsidRPr="00C53698" w:rsidRDefault="00D27509" w:rsidP="00FE6ED7">
            <w:pPr>
              <w:pStyle w:val="DataField11pt-Single"/>
              <w:rPr>
                <w:sz w:val="20"/>
              </w:rPr>
            </w:pPr>
            <w:r w:rsidRPr="00C53698">
              <w:rPr>
                <w:sz w:val="20"/>
              </w:rPr>
              <w:t>Molecular and cell</w:t>
            </w:r>
            <w:r w:rsidR="00847F37" w:rsidRPr="00C53698">
              <w:rPr>
                <w:sz w:val="20"/>
              </w:rPr>
              <w:t>ular</w:t>
            </w:r>
            <w:r w:rsidRPr="00C53698">
              <w:rPr>
                <w:sz w:val="20"/>
              </w:rPr>
              <w:t xml:space="preserve"> biology</w:t>
            </w:r>
          </w:p>
        </w:tc>
      </w:tr>
      <w:tr w:rsidR="00D27509" w:rsidRPr="00C53698" w14:paraId="14B55A52" w14:textId="77777777" w:rsidTr="00D27509">
        <w:trPr>
          <w:cantSplit/>
          <w:trHeight w:val="395"/>
        </w:trPr>
        <w:tc>
          <w:tcPr>
            <w:tcW w:w="5130" w:type="dxa"/>
            <w:vAlign w:val="center"/>
          </w:tcPr>
          <w:p w14:paraId="36D98690" w14:textId="6BA1AF26" w:rsidR="00D27509" w:rsidRPr="00C53698" w:rsidRDefault="00851421" w:rsidP="00FE6ED7">
            <w:pPr>
              <w:pStyle w:val="DataField11pt-Single"/>
              <w:jc w:val="both"/>
              <w:rPr>
                <w:sz w:val="20"/>
              </w:rPr>
            </w:pPr>
            <w:r w:rsidRPr="00C53698">
              <w:rPr>
                <w:sz w:val="20"/>
              </w:rPr>
              <w:t>Université de Montréal</w:t>
            </w:r>
            <w:r w:rsidR="005C6A15" w:rsidRPr="00C53698">
              <w:rPr>
                <w:sz w:val="20"/>
              </w:rPr>
              <w:t xml:space="preserve"> (Canada)</w:t>
            </w:r>
          </w:p>
        </w:tc>
        <w:tc>
          <w:tcPr>
            <w:tcW w:w="1530" w:type="dxa"/>
            <w:vAlign w:val="center"/>
          </w:tcPr>
          <w:p w14:paraId="520C25BE" w14:textId="77777777" w:rsidR="00D27509" w:rsidRPr="00C53698" w:rsidRDefault="00D27509" w:rsidP="00FE6ED7">
            <w:pPr>
              <w:pStyle w:val="DataField11pt-Single"/>
              <w:jc w:val="center"/>
              <w:rPr>
                <w:sz w:val="20"/>
              </w:rPr>
            </w:pPr>
            <w:r w:rsidRPr="00C53698">
              <w:rPr>
                <w:sz w:val="20"/>
              </w:rPr>
              <w:t>Postdoctoral</w:t>
            </w:r>
          </w:p>
        </w:tc>
        <w:tc>
          <w:tcPr>
            <w:tcW w:w="1584" w:type="dxa"/>
            <w:vAlign w:val="center"/>
          </w:tcPr>
          <w:p w14:paraId="3710C549" w14:textId="0431E27E" w:rsidR="00D27509" w:rsidRPr="00C53698" w:rsidRDefault="00851421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  <w:r w:rsidRPr="00C53698">
              <w:rPr>
                <w:sz w:val="20"/>
                <w:szCs w:val="20"/>
              </w:rPr>
              <w:t>2022</w:t>
            </w:r>
          </w:p>
        </w:tc>
        <w:tc>
          <w:tcPr>
            <w:tcW w:w="2592" w:type="dxa"/>
            <w:vAlign w:val="center"/>
          </w:tcPr>
          <w:p w14:paraId="196D6481" w14:textId="2E90C2EC" w:rsidR="00D27509" w:rsidRPr="00C53698" w:rsidRDefault="00851421" w:rsidP="00FE6ED7">
            <w:pPr>
              <w:pStyle w:val="DataField11pt-Single"/>
              <w:rPr>
                <w:sz w:val="20"/>
              </w:rPr>
            </w:pPr>
            <w:r w:rsidRPr="00C53698">
              <w:rPr>
                <w:sz w:val="20"/>
              </w:rPr>
              <w:t>Neuroimmunology</w:t>
            </w:r>
          </w:p>
        </w:tc>
      </w:tr>
      <w:tr w:rsidR="00D27509" w:rsidRPr="00C53698" w14:paraId="706E26F1" w14:textId="77777777" w:rsidTr="00D27509">
        <w:trPr>
          <w:cantSplit/>
          <w:trHeight w:val="395"/>
        </w:trPr>
        <w:tc>
          <w:tcPr>
            <w:tcW w:w="5130" w:type="dxa"/>
            <w:tcBorders>
              <w:top w:val="nil"/>
              <w:bottom w:val="single" w:sz="4" w:space="0" w:color="auto"/>
            </w:tcBorders>
          </w:tcPr>
          <w:p w14:paraId="0C56AAC6" w14:textId="58AC05E6" w:rsidR="00D27509" w:rsidRPr="00C53698" w:rsidRDefault="00D27509" w:rsidP="00FE6ED7">
            <w:pPr>
              <w:pStyle w:val="FormFieldCaption"/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73E21D22" w14:textId="5A6B30EE" w:rsidR="00D27509" w:rsidRPr="00C53698" w:rsidRDefault="00D27509" w:rsidP="00FE6ED7">
            <w:pPr>
              <w:pStyle w:val="DataField11pt-Single"/>
              <w:jc w:val="center"/>
              <w:rPr>
                <w:sz w:val="20"/>
              </w:rPr>
            </w:pPr>
          </w:p>
        </w:tc>
        <w:tc>
          <w:tcPr>
            <w:tcW w:w="1584" w:type="dxa"/>
            <w:tcBorders>
              <w:top w:val="nil"/>
              <w:bottom w:val="single" w:sz="4" w:space="0" w:color="auto"/>
            </w:tcBorders>
            <w:vAlign w:val="center"/>
          </w:tcPr>
          <w:p w14:paraId="44848BD3" w14:textId="5D40F546" w:rsidR="00D27509" w:rsidRPr="00C53698" w:rsidRDefault="00D27509" w:rsidP="00FE6ED7">
            <w:pPr>
              <w:pStyle w:val="FormFieldCaption"/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nil"/>
              <w:bottom w:val="single" w:sz="4" w:space="0" w:color="auto"/>
            </w:tcBorders>
            <w:vAlign w:val="center"/>
          </w:tcPr>
          <w:p w14:paraId="2BF4FBD7" w14:textId="623796E8" w:rsidR="00D27509" w:rsidRPr="00C53698" w:rsidRDefault="00D27509" w:rsidP="00FE6ED7">
            <w:pPr>
              <w:pStyle w:val="DataField11pt-Single"/>
              <w:rPr>
                <w:sz w:val="20"/>
              </w:rPr>
            </w:pPr>
          </w:p>
        </w:tc>
      </w:tr>
    </w:tbl>
    <w:p w14:paraId="6E1B72A4" w14:textId="77777777" w:rsidR="00E86974" w:rsidRPr="00C53698" w:rsidRDefault="00E86974">
      <w:pPr>
        <w:pStyle w:val="DataField11pt-Single"/>
        <w:rPr>
          <w:szCs w:val="22"/>
        </w:rPr>
        <w:sectPr w:rsidR="00E86974" w:rsidRPr="00C53698" w:rsidSect="00E86974">
          <w:footerReference w:type="default" r:id="rId7"/>
          <w:headerReference w:type="first" r:id="rId8"/>
          <w:footerReference w:type="first" r:id="rId9"/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26"/>
        </w:sectPr>
      </w:pPr>
    </w:p>
    <w:p w14:paraId="05CA2273" w14:textId="77777777" w:rsidR="00D27509" w:rsidRPr="00C53698" w:rsidRDefault="00E86974" w:rsidP="00D27509">
      <w:pPr>
        <w:pStyle w:val="DataField11pt-Single"/>
        <w:numPr>
          <w:ilvl w:val="0"/>
          <w:numId w:val="23"/>
        </w:numPr>
        <w:spacing w:after="60"/>
        <w:ind w:left="284" w:hanging="284"/>
        <w:rPr>
          <w:b/>
          <w:bCs/>
          <w:szCs w:val="22"/>
        </w:rPr>
      </w:pPr>
      <w:r w:rsidRPr="00C53698">
        <w:rPr>
          <w:b/>
          <w:bCs/>
          <w:szCs w:val="22"/>
        </w:rPr>
        <w:t>Positions and Honors</w:t>
      </w:r>
    </w:p>
    <w:p w14:paraId="7E93DFFF" w14:textId="552BB868" w:rsidR="00851421" w:rsidRPr="00C53698" w:rsidRDefault="00D27509" w:rsidP="00851421">
      <w:pPr>
        <w:pStyle w:val="DataField11pt-Single"/>
        <w:spacing w:after="60"/>
        <w:jc w:val="both"/>
        <w:rPr>
          <w:rFonts w:eastAsia="Calibri"/>
          <w:szCs w:val="22"/>
          <w:lang w:val="fr-CA"/>
        </w:rPr>
      </w:pPr>
      <w:r w:rsidRPr="00C53698">
        <w:rPr>
          <w:rFonts w:eastAsia="Calibri"/>
          <w:b/>
          <w:bCs/>
          <w:szCs w:val="22"/>
          <w:lang w:val="fr-CA"/>
        </w:rPr>
        <w:t>20</w:t>
      </w:r>
      <w:r w:rsidR="00851421" w:rsidRPr="00C53698">
        <w:rPr>
          <w:rFonts w:eastAsia="Calibri"/>
          <w:b/>
          <w:bCs/>
          <w:szCs w:val="22"/>
          <w:lang w:val="fr-CA"/>
        </w:rPr>
        <w:t>24</w:t>
      </w:r>
      <w:r w:rsidRPr="00C53698">
        <w:rPr>
          <w:rFonts w:eastAsia="Calibri"/>
          <w:b/>
          <w:bCs/>
          <w:szCs w:val="22"/>
          <w:lang w:val="fr-CA"/>
        </w:rPr>
        <w:t>-</w:t>
      </w:r>
      <w:r w:rsidR="002A102C" w:rsidRPr="00C53698">
        <w:rPr>
          <w:rFonts w:eastAsia="Calibri"/>
          <w:b/>
          <w:bCs/>
          <w:szCs w:val="22"/>
          <w:lang w:val="fr-CA"/>
        </w:rPr>
        <w:t>x</w:t>
      </w:r>
      <w:r w:rsidRPr="00C53698">
        <w:rPr>
          <w:rFonts w:eastAsia="Calibri"/>
          <w:szCs w:val="22"/>
          <w:lang w:val="fr-CA"/>
        </w:rPr>
        <w:t xml:space="preserve"> </w:t>
      </w:r>
      <w:r w:rsidR="00851421" w:rsidRPr="00C53698">
        <w:rPr>
          <w:rFonts w:eastAsia="Calibri"/>
          <w:szCs w:val="22"/>
          <w:lang w:val="fr-CA"/>
        </w:rPr>
        <w:t>Chargé de recherche de classe normale, INSERM U1237</w:t>
      </w:r>
      <w:r w:rsidR="00FC59F9" w:rsidRPr="00C53698">
        <w:rPr>
          <w:rFonts w:eastAsia="Calibri"/>
          <w:szCs w:val="22"/>
          <w:lang w:val="fr-CA"/>
        </w:rPr>
        <w:t>, France</w:t>
      </w:r>
      <w:r w:rsidR="00851421" w:rsidRPr="00C53698">
        <w:rPr>
          <w:rFonts w:eastAsia="Calibri"/>
          <w:szCs w:val="22"/>
          <w:lang w:val="fr-CA"/>
        </w:rPr>
        <w:t xml:space="preserve">. </w:t>
      </w:r>
    </w:p>
    <w:p w14:paraId="2CD44EE6" w14:textId="15613160" w:rsidR="00D96283" w:rsidRPr="00C53698" w:rsidRDefault="00851421" w:rsidP="00851421">
      <w:pPr>
        <w:pStyle w:val="DataField11pt-Single"/>
        <w:spacing w:after="60"/>
        <w:jc w:val="both"/>
        <w:rPr>
          <w:rFonts w:eastAsia="Calibri"/>
          <w:szCs w:val="22"/>
        </w:rPr>
      </w:pPr>
      <w:r w:rsidRPr="00C53698">
        <w:rPr>
          <w:rFonts w:eastAsia="Calibri"/>
          <w:b/>
          <w:bCs/>
          <w:szCs w:val="22"/>
        </w:rPr>
        <w:t>2023-2024</w:t>
      </w:r>
      <w:r w:rsidRPr="00C53698">
        <w:rPr>
          <w:rFonts w:eastAsia="Calibri"/>
          <w:szCs w:val="22"/>
        </w:rPr>
        <w:t xml:space="preserve"> MSCA </w:t>
      </w:r>
      <w:proofErr w:type="spellStart"/>
      <w:r w:rsidR="00171F79" w:rsidRPr="00C53698">
        <w:rPr>
          <w:rFonts w:eastAsia="Calibri"/>
          <w:szCs w:val="22"/>
        </w:rPr>
        <w:t>C</w:t>
      </w:r>
      <w:r w:rsidRPr="00C53698">
        <w:rPr>
          <w:rFonts w:eastAsia="Calibri"/>
          <w:szCs w:val="22"/>
        </w:rPr>
        <w:t>ofun</w:t>
      </w:r>
      <w:r w:rsidR="00171F79" w:rsidRPr="00C53698">
        <w:rPr>
          <w:rFonts w:eastAsia="Calibri"/>
          <w:szCs w:val="22"/>
        </w:rPr>
        <w:t>d</w:t>
      </w:r>
      <w:proofErr w:type="spellEnd"/>
      <w:r w:rsidR="00171F79" w:rsidRPr="00C53698">
        <w:rPr>
          <w:rFonts w:eastAsia="Calibri"/>
          <w:szCs w:val="22"/>
        </w:rPr>
        <w:t xml:space="preserve"> </w:t>
      </w:r>
      <w:r w:rsidR="00966A8E" w:rsidRPr="00C53698">
        <w:rPr>
          <w:rFonts w:eastAsia="Calibri"/>
          <w:szCs w:val="22"/>
        </w:rPr>
        <w:t>P</w:t>
      </w:r>
      <w:r w:rsidRPr="00C53698">
        <w:rPr>
          <w:rFonts w:eastAsia="Calibri"/>
          <w:szCs w:val="22"/>
        </w:rPr>
        <w:t xml:space="preserve">ostdoctoral </w:t>
      </w:r>
      <w:r w:rsidR="00966A8E" w:rsidRPr="00C53698">
        <w:rPr>
          <w:rFonts w:eastAsia="Calibri"/>
          <w:szCs w:val="22"/>
        </w:rPr>
        <w:t>F</w:t>
      </w:r>
      <w:r w:rsidRPr="00C53698">
        <w:rPr>
          <w:rFonts w:eastAsia="Calibri"/>
          <w:szCs w:val="22"/>
        </w:rPr>
        <w:t xml:space="preserve">ellow, </w:t>
      </w:r>
      <w:proofErr w:type="spellStart"/>
      <w:r w:rsidR="00171F79" w:rsidRPr="00C53698">
        <w:rPr>
          <w:rFonts w:eastAsia="Calibri"/>
          <w:szCs w:val="22"/>
        </w:rPr>
        <w:t>WINNINGNormandy</w:t>
      </w:r>
      <w:proofErr w:type="spellEnd"/>
      <w:r w:rsidR="00171F79" w:rsidRPr="00C53698">
        <w:rPr>
          <w:rFonts w:eastAsia="Calibri"/>
          <w:szCs w:val="22"/>
        </w:rPr>
        <w:t xml:space="preserve">, </w:t>
      </w:r>
      <w:r w:rsidRPr="00C53698">
        <w:rPr>
          <w:rFonts w:eastAsia="Calibri"/>
          <w:szCs w:val="22"/>
        </w:rPr>
        <w:t>INSERM U1237</w:t>
      </w:r>
      <w:r w:rsidR="00FC59F9" w:rsidRPr="00C53698">
        <w:rPr>
          <w:rFonts w:eastAsia="Calibri"/>
          <w:szCs w:val="22"/>
        </w:rPr>
        <w:t>, France</w:t>
      </w:r>
      <w:r w:rsidRPr="00C53698">
        <w:rPr>
          <w:rFonts w:eastAsia="Calibri"/>
          <w:szCs w:val="22"/>
        </w:rPr>
        <w:t>.</w:t>
      </w:r>
    </w:p>
    <w:p w14:paraId="059EB7A4" w14:textId="243238CB" w:rsidR="00851421" w:rsidRPr="00C53698" w:rsidRDefault="00851421" w:rsidP="00851421">
      <w:pPr>
        <w:pStyle w:val="DataField11pt-Single"/>
        <w:spacing w:after="60"/>
        <w:jc w:val="both"/>
        <w:rPr>
          <w:rFonts w:eastAsia="Calibri"/>
          <w:szCs w:val="22"/>
          <w:lang w:val="fr-CA"/>
        </w:rPr>
      </w:pPr>
      <w:r w:rsidRPr="00C53698">
        <w:rPr>
          <w:rFonts w:eastAsia="Calibri"/>
          <w:b/>
          <w:bCs/>
          <w:szCs w:val="22"/>
          <w:lang w:val="fr-CA"/>
        </w:rPr>
        <w:t>2017-2022</w:t>
      </w:r>
      <w:r w:rsidRPr="00C53698">
        <w:rPr>
          <w:rFonts w:eastAsia="Calibri"/>
          <w:szCs w:val="22"/>
          <w:lang w:val="fr-CA"/>
        </w:rPr>
        <w:t xml:space="preserve"> </w:t>
      </w:r>
      <w:r w:rsidR="00352D83" w:rsidRPr="00C53698">
        <w:rPr>
          <w:rFonts w:eastAsia="Calibri"/>
          <w:szCs w:val="22"/>
          <w:lang w:val="fr-CA"/>
        </w:rPr>
        <w:t>CIHR</w:t>
      </w:r>
      <w:r w:rsidRPr="00C53698">
        <w:rPr>
          <w:rFonts w:eastAsia="Calibri"/>
          <w:szCs w:val="22"/>
          <w:lang w:val="fr-CA"/>
        </w:rPr>
        <w:t xml:space="preserve"> and FRQS </w:t>
      </w:r>
      <w:r w:rsidR="00966A8E" w:rsidRPr="00C53698">
        <w:rPr>
          <w:rFonts w:eastAsia="Calibri"/>
          <w:szCs w:val="22"/>
          <w:lang w:val="fr-CA"/>
        </w:rPr>
        <w:t>P</w:t>
      </w:r>
      <w:r w:rsidRPr="00C53698">
        <w:rPr>
          <w:rFonts w:eastAsia="Calibri"/>
          <w:szCs w:val="22"/>
          <w:lang w:val="fr-CA"/>
        </w:rPr>
        <w:t xml:space="preserve">ostdoctoral </w:t>
      </w:r>
      <w:proofErr w:type="spellStart"/>
      <w:r w:rsidR="00966A8E" w:rsidRPr="00C53698">
        <w:rPr>
          <w:rFonts w:eastAsia="Calibri"/>
          <w:szCs w:val="22"/>
          <w:lang w:val="fr-CA"/>
        </w:rPr>
        <w:t>F</w:t>
      </w:r>
      <w:r w:rsidRPr="00C53698">
        <w:rPr>
          <w:rFonts w:eastAsia="Calibri"/>
          <w:szCs w:val="22"/>
          <w:lang w:val="fr-CA"/>
        </w:rPr>
        <w:t>ellow</w:t>
      </w:r>
      <w:proofErr w:type="spellEnd"/>
      <w:r w:rsidRPr="00C53698">
        <w:rPr>
          <w:rFonts w:eastAsia="Calibri"/>
          <w:szCs w:val="22"/>
          <w:lang w:val="fr-CA"/>
        </w:rPr>
        <w:t>, Centre de recherche du CHUM, Université de Montréal</w:t>
      </w:r>
      <w:r w:rsidR="00FC59F9" w:rsidRPr="00C53698">
        <w:rPr>
          <w:rFonts w:eastAsia="Calibri"/>
          <w:szCs w:val="22"/>
          <w:lang w:val="fr-CA"/>
        </w:rPr>
        <w:t>, Canada</w:t>
      </w:r>
      <w:r w:rsidRPr="00C53698">
        <w:rPr>
          <w:rFonts w:eastAsia="Calibri"/>
          <w:szCs w:val="22"/>
          <w:lang w:val="fr-CA"/>
        </w:rPr>
        <w:t xml:space="preserve">. </w:t>
      </w:r>
    </w:p>
    <w:p w14:paraId="01281319" w14:textId="712C7731" w:rsidR="00A2781E" w:rsidRPr="00C53698" w:rsidRDefault="00A2781E" w:rsidP="00851421">
      <w:pPr>
        <w:pStyle w:val="DataField11pt-Single"/>
        <w:spacing w:after="60"/>
        <w:jc w:val="both"/>
        <w:rPr>
          <w:rFonts w:eastAsia="Calibri"/>
          <w:szCs w:val="22"/>
        </w:rPr>
      </w:pPr>
      <w:r w:rsidRPr="00C53698">
        <w:rPr>
          <w:rFonts w:eastAsia="Calibri"/>
          <w:b/>
          <w:bCs/>
          <w:szCs w:val="22"/>
        </w:rPr>
        <w:t>2014-2017</w:t>
      </w:r>
      <w:r w:rsidRPr="00C53698">
        <w:rPr>
          <w:rFonts w:eastAsia="Calibri"/>
          <w:szCs w:val="22"/>
        </w:rPr>
        <w:t xml:space="preserve"> PhD student, INSERM U1237, France.</w:t>
      </w:r>
    </w:p>
    <w:p w14:paraId="6BFED8A0" w14:textId="77777777" w:rsidR="00851421" w:rsidRPr="00C53698" w:rsidRDefault="00851421" w:rsidP="00851421">
      <w:pPr>
        <w:pStyle w:val="DataField11pt-Single"/>
        <w:spacing w:after="60"/>
        <w:jc w:val="both"/>
        <w:rPr>
          <w:rFonts w:eastAsia="Calibri"/>
          <w:szCs w:val="22"/>
        </w:rPr>
      </w:pPr>
    </w:p>
    <w:p w14:paraId="08FDE2B0" w14:textId="227189FD" w:rsidR="00851421" w:rsidRPr="00C53698" w:rsidRDefault="00851421" w:rsidP="00851421">
      <w:pPr>
        <w:pStyle w:val="DataField11pt-Single"/>
        <w:spacing w:after="60"/>
        <w:jc w:val="both"/>
        <w:rPr>
          <w:rFonts w:eastAsia="Calibri"/>
          <w:b/>
          <w:bCs/>
          <w:szCs w:val="22"/>
        </w:rPr>
      </w:pPr>
      <w:proofErr w:type="gramStart"/>
      <w:r w:rsidRPr="00C53698">
        <w:rPr>
          <w:rFonts w:eastAsia="Calibri"/>
          <w:b/>
          <w:bCs/>
          <w:szCs w:val="22"/>
        </w:rPr>
        <w:t>Honors :</w:t>
      </w:r>
      <w:proofErr w:type="gramEnd"/>
      <w:r w:rsidRPr="00C53698">
        <w:rPr>
          <w:rFonts w:eastAsia="Calibri"/>
          <w:b/>
          <w:bCs/>
          <w:szCs w:val="22"/>
        </w:rPr>
        <w:t xml:space="preserve"> </w:t>
      </w:r>
    </w:p>
    <w:p w14:paraId="3BC30F01" w14:textId="571EF057" w:rsidR="00851421" w:rsidRPr="00C53698" w:rsidRDefault="00851421" w:rsidP="00851421">
      <w:pPr>
        <w:pStyle w:val="DataField11pt-Single"/>
        <w:spacing w:after="60"/>
        <w:jc w:val="both"/>
        <w:rPr>
          <w:rFonts w:eastAsia="Calibri"/>
          <w:szCs w:val="22"/>
          <w:lang w:val="fr-CA"/>
        </w:rPr>
      </w:pPr>
      <w:r w:rsidRPr="00C53698">
        <w:rPr>
          <w:rFonts w:eastAsia="Calibri"/>
          <w:b/>
          <w:bCs/>
          <w:szCs w:val="22"/>
          <w:lang w:val="fr-CA"/>
        </w:rPr>
        <w:t>2018</w:t>
      </w:r>
      <w:r w:rsidRPr="00C53698">
        <w:rPr>
          <w:rFonts w:eastAsia="Calibri"/>
          <w:szCs w:val="22"/>
          <w:lang w:val="fr-CA"/>
        </w:rPr>
        <w:t xml:space="preserve"> </w:t>
      </w:r>
      <w:proofErr w:type="spellStart"/>
      <w:r w:rsidR="00D6442D" w:rsidRPr="00C53698">
        <w:rPr>
          <w:rFonts w:eastAsia="Calibri"/>
          <w:szCs w:val="22"/>
          <w:lang w:val="fr-CA"/>
        </w:rPr>
        <w:t>Thesis</w:t>
      </w:r>
      <w:proofErr w:type="spellEnd"/>
      <w:r w:rsidR="00D6442D" w:rsidRPr="00C53698">
        <w:rPr>
          <w:rFonts w:eastAsia="Calibri"/>
          <w:szCs w:val="22"/>
          <w:lang w:val="fr-CA"/>
        </w:rPr>
        <w:t xml:space="preserve"> </w:t>
      </w:r>
      <w:proofErr w:type="spellStart"/>
      <w:r w:rsidR="00D6442D" w:rsidRPr="00C53698">
        <w:rPr>
          <w:rFonts w:eastAsia="Calibri"/>
          <w:szCs w:val="22"/>
          <w:lang w:val="fr-CA"/>
        </w:rPr>
        <w:t>Award</w:t>
      </w:r>
      <w:proofErr w:type="spellEnd"/>
      <w:r w:rsidR="00D6442D" w:rsidRPr="00C53698">
        <w:rPr>
          <w:rFonts w:eastAsia="Calibri"/>
          <w:szCs w:val="22"/>
          <w:lang w:val="fr-CA"/>
        </w:rPr>
        <w:t xml:space="preserve">, Société </w:t>
      </w:r>
      <w:r w:rsidR="007132BE" w:rsidRPr="00C53698">
        <w:rPr>
          <w:rFonts w:eastAsia="Calibri"/>
          <w:szCs w:val="22"/>
          <w:lang w:val="fr-CA"/>
        </w:rPr>
        <w:t>C</w:t>
      </w:r>
      <w:r w:rsidR="00D6442D" w:rsidRPr="00C53698">
        <w:rPr>
          <w:rFonts w:eastAsia="Calibri"/>
          <w:szCs w:val="22"/>
          <w:lang w:val="fr-CA"/>
        </w:rPr>
        <w:t xml:space="preserve">erveau et </w:t>
      </w:r>
      <w:r w:rsidR="007132BE" w:rsidRPr="00C53698">
        <w:rPr>
          <w:rFonts w:eastAsia="Calibri"/>
          <w:szCs w:val="22"/>
          <w:lang w:val="fr-CA"/>
        </w:rPr>
        <w:t>M</w:t>
      </w:r>
      <w:r w:rsidR="00D6442D" w:rsidRPr="00C53698">
        <w:rPr>
          <w:rFonts w:eastAsia="Calibri"/>
          <w:szCs w:val="22"/>
          <w:lang w:val="fr-CA"/>
        </w:rPr>
        <w:t xml:space="preserve">aladies </w:t>
      </w:r>
      <w:proofErr w:type="spellStart"/>
      <w:r w:rsidR="007132BE" w:rsidRPr="00C53698">
        <w:rPr>
          <w:rFonts w:eastAsia="Calibri"/>
          <w:szCs w:val="22"/>
          <w:lang w:val="fr-CA"/>
        </w:rPr>
        <w:t>C</w:t>
      </w:r>
      <w:r w:rsidR="00D6442D" w:rsidRPr="00C53698">
        <w:rPr>
          <w:rFonts w:eastAsia="Calibri"/>
          <w:szCs w:val="22"/>
          <w:lang w:val="fr-CA"/>
        </w:rPr>
        <w:t>érébrovasculaires</w:t>
      </w:r>
      <w:proofErr w:type="spellEnd"/>
      <w:r w:rsidR="00D6442D" w:rsidRPr="00C53698">
        <w:rPr>
          <w:rFonts w:eastAsia="Calibri"/>
          <w:szCs w:val="22"/>
          <w:lang w:val="fr-CA"/>
        </w:rPr>
        <w:t xml:space="preserve"> (SCMC).</w:t>
      </w:r>
    </w:p>
    <w:p w14:paraId="1DA76BDE" w14:textId="3F4588D4" w:rsidR="00D6442D" w:rsidRPr="00C53698" w:rsidRDefault="00D6442D" w:rsidP="00851421">
      <w:pPr>
        <w:pStyle w:val="DataField11pt-Single"/>
        <w:spacing w:after="60"/>
        <w:jc w:val="both"/>
        <w:rPr>
          <w:rFonts w:eastAsia="Calibri"/>
          <w:szCs w:val="22"/>
          <w:lang w:val="fr-CA"/>
        </w:rPr>
      </w:pPr>
      <w:r w:rsidRPr="00C53698">
        <w:rPr>
          <w:rFonts w:eastAsia="Calibri"/>
          <w:b/>
          <w:bCs/>
          <w:szCs w:val="22"/>
          <w:lang w:val="fr-CA"/>
        </w:rPr>
        <w:t>2016</w:t>
      </w:r>
      <w:r w:rsidRPr="00C53698">
        <w:rPr>
          <w:rFonts w:eastAsia="Calibri"/>
          <w:szCs w:val="22"/>
          <w:lang w:val="fr-CA"/>
        </w:rPr>
        <w:t xml:space="preserve"> Prix François Lhermitte, Best oral </w:t>
      </w:r>
      <w:proofErr w:type="spellStart"/>
      <w:r w:rsidRPr="00C53698">
        <w:rPr>
          <w:rFonts w:eastAsia="Calibri"/>
          <w:szCs w:val="22"/>
          <w:lang w:val="fr-CA"/>
        </w:rPr>
        <w:t>presentation</w:t>
      </w:r>
      <w:proofErr w:type="spellEnd"/>
      <w:r w:rsidRPr="00C53698">
        <w:rPr>
          <w:rFonts w:eastAsia="Calibri"/>
          <w:szCs w:val="22"/>
          <w:lang w:val="fr-CA"/>
        </w:rPr>
        <w:t xml:space="preserve">, ARSEP. </w:t>
      </w:r>
    </w:p>
    <w:p w14:paraId="79050638" w14:textId="77777777" w:rsidR="00851421" w:rsidRPr="00C53698" w:rsidRDefault="00851421" w:rsidP="00851421">
      <w:pPr>
        <w:pStyle w:val="DataField11pt-Single"/>
        <w:spacing w:after="60"/>
        <w:jc w:val="both"/>
        <w:rPr>
          <w:szCs w:val="22"/>
          <w:lang w:val="fr-CA"/>
        </w:rPr>
      </w:pPr>
    </w:p>
    <w:p w14:paraId="67E39CE7" w14:textId="77777777" w:rsidR="00E86974" w:rsidRPr="00C53698" w:rsidRDefault="00E86974" w:rsidP="008B36B6">
      <w:pPr>
        <w:pStyle w:val="DataField11pt-Single"/>
        <w:rPr>
          <w:b/>
          <w:bCs/>
          <w:szCs w:val="22"/>
          <w:lang w:val="fr-CA"/>
        </w:rPr>
      </w:pPr>
    </w:p>
    <w:p w14:paraId="0901A37C" w14:textId="4BBB5975" w:rsidR="00087E80" w:rsidRPr="00C53698" w:rsidRDefault="0012130F" w:rsidP="008B36B6">
      <w:pPr>
        <w:pStyle w:val="DataField11pt-Single"/>
        <w:numPr>
          <w:ilvl w:val="0"/>
          <w:numId w:val="23"/>
        </w:numPr>
        <w:ind w:left="284" w:hanging="284"/>
        <w:rPr>
          <w:b/>
          <w:bCs/>
          <w:szCs w:val="22"/>
        </w:rPr>
      </w:pPr>
      <w:r w:rsidRPr="00C53698">
        <w:rPr>
          <w:b/>
          <w:bCs/>
          <w:szCs w:val="22"/>
        </w:rPr>
        <w:t>Most Important</w:t>
      </w:r>
      <w:r w:rsidR="00087E80" w:rsidRPr="00C53698">
        <w:rPr>
          <w:b/>
          <w:bCs/>
          <w:szCs w:val="22"/>
        </w:rPr>
        <w:t xml:space="preserve"> </w:t>
      </w:r>
      <w:r w:rsidR="008B3285" w:rsidRPr="00C53698">
        <w:rPr>
          <w:b/>
          <w:bCs/>
          <w:szCs w:val="22"/>
        </w:rPr>
        <w:t xml:space="preserve">Recent </w:t>
      </w:r>
      <w:r w:rsidR="00087E80" w:rsidRPr="00C53698">
        <w:rPr>
          <w:b/>
          <w:bCs/>
          <w:szCs w:val="22"/>
        </w:rPr>
        <w:t>Publications</w:t>
      </w:r>
      <w:r w:rsidR="007C1C1B" w:rsidRPr="00C53698">
        <w:rPr>
          <w:b/>
          <w:bCs/>
          <w:szCs w:val="22"/>
        </w:rPr>
        <w:t xml:space="preserve"> - H-index: </w:t>
      </w:r>
      <w:r w:rsidR="003863F0" w:rsidRPr="00C53698">
        <w:rPr>
          <w:b/>
          <w:bCs/>
          <w:szCs w:val="22"/>
        </w:rPr>
        <w:t>11</w:t>
      </w:r>
    </w:p>
    <w:p w14:paraId="1C8819C6" w14:textId="77777777" w:rsidR="00E86974" w:rsidRPr="00C53698" w:rsidRDefault="00E86974" w:rsidP="00E86974">
      <w:pPr>
        <w:pStyle w:val="DataField11pt-Single"/>
        <w:rPr>
          <w:b/>
          <w:bCs/>
          <w:szCs w:val="22"/>
        </w:rPr>
      </w:pPr>
    </w:p>
    <w:p w14:paraId="0A5C9507" w14:textId="0DB80B4B" w:rsidR="00087E80" w:rsidRPr="00C53698" w:rsidRDefault="003863F0" w:rsidP="008B36B6">
      <w:pPr>
        <w:pStyle w:val="DataField11pt-Single"/>
        <w:jc w:val="both"/>
        <w:rPr>
          <w:bCs/>
          <w:lang w:val="en-GB"/>
        </w:rPr>
      </w:pPr>
      <w:r w:rsidRPr="00C53698">
        <w:rPr>
          <w:szCs w:val="22"/>
          <w:lang w:val="en-GB"/>
        </w:rPr>
        <w:t>1.</w:t>
      </w:r>
      <w:r w:rsidRPr="00C53698">
        <w:rPr>
          <w:b/>
          <w:bCs/>
          <w:szCs w:val="22"/>
          <w:lang w:val="en-GB"/>
        </w:rPr>
        <w:t xml:space="preserve"> Fournier AP*, </w:t>
      </w:r>
      <w:proofErr w:type="spellStart"/>
      <w:r w:rsidRPr="00C53698">
        <w:rPr>
          <w:szCs w:val="22"/>
          <w:lang w:val="en-GB"/>
        </w:rPr>
        <w:t>Tastet</w:t>
      </w:r>
      <w:proofErr w:type="spellEnd"/>
      <w:r w:rsidRPr="00C53698">
        <w:rPr>
          <w:szCs w:val="22"/>
          <w:lang w:val="en-GB"/>
        </w:rPr>
        <w:t xml:space="preserve"> O*, </w:t>
      </w:r>
      <w:proofErr w:type="spellStart"/>
      <w:r w:rsidRPr="00C53698">
        <w:rPr>
          <w:szCs w:val="22"/>
          <w:lang w:val="en-GB"/>
        </w:rPr>
        <w:t>Charabati</w:t>
      </w:r>
      <w:proofErr w:type="spellEnd"/>
      <w:r w:rsidRPr="00C53698">
        <w:rPr>
          <w:szCs w:val="22"/>
          <w:lang w:val="en-GB"/>
        </w:rPr>
        <w:t xml:space="preserve"> M, </w:t>
      </w:r>
      <w:proofErr w:type="spellStart"/>
      <w:r w:rsidRPr="00C53698">
        <w:rPr>
          <w:szCs w:val="22"/>
          <w:lang w:val="en-GB"/>
        </w:rPr>
        <w:t>Hoornaert</w:t>
      </w:r>
      <w:proofErr w:type="spellEnd"/>
      <w:r w:rsidRPr="00C53698">
        <w:rPr>
          <w:szCs w:val="22"/>
          <w:lang w:val="en-GB"/>
        </w:rPr>
        <w:t xml:space="preserve"> C, </w:t>
      </w:r>
      <w:proofErr w:type="spellStart"/>
      <w:r w:rsidRPr="00C53698">
        <w:rPr>
          <w:szCs w:val="22"/>
          <w:lang w:val="en-GB"/>
        </w:rPr>
        <w:t>Bourbonnière</w:t>
      </w:r>
      <w:proofErr w:type="spellEnd"/>
      <w:r w:rsidRPr="00C53698">
        <w:rPr>
          <w:szCs w:val="22"/>
          <w:lang w:val="en-GB"/>
        </w:rPr>
        <w:t xml:space="preserve"> L, </w:t>
      </w:r>
      <w:proofErr w:type="spellStart"/>
      <w:r w:rsidRPr="00C53698">
        <w:rPr>
          <w:szCs w:val="22"/>
          <w:lang w:val="en-GB"/>
        </w:rPr>
        <w:t>Klement</w:t>
      </w:r>
      <w:proofErr w:type="spellEnd"/>
      <w:r w:rsidRPr="00C53698">
        <w:rPr>
          <w:szCs w:val="22"/>
          <w:lang w:val="en-GB"/>
        </w:rPr>
        <w:t xml:space="preserve"> W, </w:t>
      </w:r>
      <w:proofErr w:type="spellStart"/>
      <w:r w:rsidRPr="00C53698">
        <w:rPr>
          <w:szCs w:val="22"/>
          <w:lang w:val="en-GB"/>
        </w:rPr>
        <w:t>Larouche</w:t>
      </w:r>
      <w:proofErr w:type="spellEnd"/>
      <w:r w:rsidRPr="00C53698">
        <w:rPr>
          <w:szCs w:val="22"/>
          <w:lang w:val="en-GB"/>
        </w:rPr>
        <w:t xml:space="preserve"> </w:t>
      </w:r>
      <w:proofErr w:type="spellStart"/>
      <w:proofErr w:type="gramStart"/>
      <w:r w:rsidRPr="00C53698">
        <w:rPr>
          <w:szCs w:val="22"/>
          <w:lang w:val="en-GB"/>
        </w:rPr>
        <w:t>S,Tea</w:t>
      </w:r>
      <w:proofErr w:type="spellEnd"/>
      <w:proofErr w:type="gramEnd"/>
      <w:r w:rsidRPr="00C53698">
        <w:rPr>
          <w:szCs w:val="22"/>
          <w:lang w:val="en-GB"/>
        </w:rPr>
        <w:t xml:space="preserve"> F, Wang YC, Larochelle C, Arbour N, </w:t>
      </w:r>
      <w:proofErr w:type="spellStart"/>
      <w:r w:rsidRPr="00C53698">
        <w:rPr>
          <w:szCs w:val="22"/>
          <w:lang w:val="en-GB"/>
        </w:rPr>
        <w:t>Ragoussis</w:t>
      </w:r>
      <w:proofErr w:type="spellEnd"/>
      <w:r w:rsidRPr="00C53698">
        <w:rPr>
          <w:szCs w:val="22"/>
          <w:lang w:val="en-GB"/>
        </w:rPr>
        <w:t xml:space="preserve"> J, </w:t>
      </w:r>
      <w:proofErr w:type="spellStart"/>
      <w:r w:rsidRPr="00C53698">
        <w:rPr>
          <w:szCs w:val="22"/>
          <w:lang w:val="en-GB"/>
        </w:rPr>
        <w:t>Zandee</w:t>
      </w:r>
      <w:proofErr w:type="spellEnd"/>
      <w:r w:rsidRPr="00C53698">
        <w:rPr>
          <w:szCs w:val="22"/>
          <w:lang w:val="en-GB"/>
        </w:rPr>
        <w:t xml:space="preserve"> S, and Prat A. </w:t>
      </w:r>
      <w:r w:rsidRPr="00C53698">
        <w:rPr>
          <w:b/>
          <w:bCs/>
          <w:szCs w:val="22"/>
          <w:lang w:val="en-GB"/>
        </w:rPr>
        <w:t>Neurology:</w:t>
      </w:r>
      <w:r w:rsidRPr="00C53698">
        <w:rPr>
          <w:szCs w:val="22"/>
          <w:lang w:val="en-GB"/>
        </w:rPr>
        <w:t xml:space="preserve"> </w:t>
      </w:r>
      <w:r w:rsidRPr="00C53698">
        <w:rPr>
          <w:b/>
          <w:bCs/>
          <w:szCs w:val="22"/>
          <w:lang w:val="en-GB"/>
        </w:rPr>
        <w:t>Neuroimmunology &amp; Neuroinflammation</w:t>
      </w:r>
      <w:r w:rsidRPr="00C53698">
        <w:rPr>
          <w:szCs w:val="22"/>
          <w:lang w:val="en-GB"/>
        </w:rPr>
        <w:t xml:space="preserve">. </w:t>
      </w:r>
      <w:r w:rsidRPr="00C53698">
        <w:rPr>
          <w:b/>
          <w:bCs/>
          <w:szCs w:val="22"/>
          <w:lang w:val="en-GB"/>
        </w:rPr>
        <w:t>2023</w:t>
      </w:r>
      <w:r w:rsidRPr="00C53698">
        <w:rPr>
          <w:szCs w:val="22"/>
          <w:lang w:val="en-GB"/>
        </w:rPr>
        <w:t xml:space="preserve">. </w:t>
      </w:r>
      <w:r w:rsidRPr="00C53698">
        <w:rPr>
          <w:bCs/>
          <w:lang w:val="en-GB"/>
        </w:rPr>
        <w:t>doi:10.1212/NXI.0000000000200046</w:t>
      </w:r>
    </w:p>
    <w:p w14:paraId="464400B3" w14:textId="77777777" w:rsidR="003863F0" w:rsidRPr="00C53698" w:rsidRDefault="003863F0" w:rsidP="008B36B6">
      <w:pPr>
        <w:pStyle w:val="DataField11pt-Single"/>
        <w:jc w:val="both"/>
        <w:rPr>
          <w:bCs/>
          <w:lang w:val="en-GB"/>
        </w:rPr>
      </w:pPr>
    </w:p>
    <w:p w14:paraId="38D1B15C" w14:textId="3F0463A2" w:rsidR="003863F0" w:rsidRPr="00C53698" w:rsidRDefault="003863F0" w:rsidP="008B36B6">
      <w:pPr>
        <w:pStyle w:val="DataField11pt-Single"/>
        <w:jc w:val="both"/>
        <w:rPr>
          <w:bCs/>
        </w:rPr>
      </w:pPr>
      <w:r w:rsidRPr="00C53698">
        <w:rPr>
          <w:bCs/>
          <w:lang w:val="en-GB"/>
        </w:rPr>
        <w:t xml:space="preserve">2. </w:t>
      </w:r>
      <w:r w:rsidRPr="00C53698">
        <w:rPr>
          <w:b/>
          <w:lang w:val="en-GB"/>
        </w:rPr>
        <w:t>Fournier AP</w:t>
      </w:r>
      <w:r w:rsidRPr="00C53698">
        <w:rPr>
          <w:bCs/>
          <w:lang w:val="en-GB"/>
        </w:rPr>
        <w:t xml:space="preserve">, </w:t>
      </w:r>
      <w:proofErr w:type="spellStart"/>
      <w:r w:rsidRPr="00C53698">
        <w:rPr>
          <w:bCs/>
          <w:lang w:val="en-GB"/>
        </w:rPr>
        <w:t>Zandee</w:t>
      </w:r>
      <w:proofErr w:type="spellEnd"/>
      <w:r w:rsidRPr="00C53698">
        <w:rPr>
          <w:bCs/>
          <w:lang w:val="en-GB"/>
        </w:rPr>
        <w:t xml:space="preserve"> S, </w:t>
      </w:r>
      <w:proofErr w:type="spellStart"/>
      <w:r w:rsidRPr="00C53698">
        <w:rPr>
          <w:bCs/>
          <w:lang w:val="en-GB"/>
        </w:rPr>
        <w:t>Charabati</w:t>
      </w:r>
      <w:proofErr w:type="spellEnd"/>
      <w:r w:rsidRPr="00C53698">
        <w:rPr>
          <w:bCs/>
          <w:lang w:val="en-GB"/>
        </w:rPr>
        <w:t xml:space="preserve"> M, </w:t>
      </w:r>
      <w:proofErr w:type="spellStart"/>
      <w:r w:rsidRPr="00C53698">
        <w:rPr>
          <w:bCs/>
          <w:lang w:val="en-GB"/>
        </w:rPr>
        <w:t>Peelen</w:t>
      </w:r>
      <w:proofErr w:type="spellEnd"/>
      <w:r w:rsidRPr="00C53698">
        <w:rPr>
          <w:bCs/>
          <w:lang w:val="en-GB"/>
        </w:rPr>
        <w:t xml:space="preserve"> E, </w:t>
      </w:r>
      <w:proofErr w:type="spellStart"/>
      <w:r w:rsidRPr="00C53698">
        <w:rPr>
          <w:bCs/>
          <w:lang w:val="en-GB"/>
        </w:rPr>
        <w:t>Tastet</w:t>
      </w:r>
      <w:proofErr w:type="spellEnd"/>
      <w:r w:rsidRPr="00C53698">
        <w:rPr>
          <w:bCs/>
          <w:lang w:val="en-GB"/>
        </w:rPr>
        <w:t xml:space="preserve"> O, Alvarez JI, </w:t>
      </w:r>
      <w:proofErr w:type="spellStart"/>
      <w:r w:rsidRPr="00C53698">
        <w:rPr>
          <w:bCs/>
          <w:lang w:val="en-GB"/>
        </w:rPr>
        <w:t>Kebir</w:t>
      </w:r>
      <w:proofErr w:type="spellEnd"/>
      <w:r w:rsidRPr="00C53698">
        <w:rPr>
          <w:bCs/>
          <w:lang w:val="en-GB"/>
        </w:rPr>
        <w:t xml:space="preserve"> H, </w:t>
      </w:r>
      <w:proofErr w:type="spellStart"/>
      <w:r w:rsidRPr="00C53698">
        <w:rPr>
          <w:bCs/>
          <w:lang w:val="en-GB"/>
        </w:rPr>
        <w:t>Bourbonnière</w:t>
      </w:r>
      <w:proofErr w:type="spellEnd"/>
      <w:r w:rsidRPr="00C53698">
        <w:rPr>
          <w:bCs/>
          <w:lang w:val="en-GB"/>
        </w:rPr>
        <w:t xml:space="preserve"> L, </w:t>
      </w:r>
      <w:proofErr w:type="spellStart"/>
      <w:r w:rsidRPr="00C53698">
        <w:rPr>
          <w:bCs/>
          <w:lang w:val="en-GB"/>
        </w:rPr>
        <w:t>Larouche</w:t>
      </w:r>
      <w:proofErr w:type="spellEnd"/>
      <w:r w:rsidRPr="00C53698">
        <w:rPr>
          <w:bCs/>
          <w:lang w:val="en-GB"/>
        </w:rPr>
        <w:t xml:space="preserve"> S, Lahav B, </w:t>
      </w:r>
      <w:proofErr w:type="spellStart"/>
      <w:r w:rsidRPr="00C53698">
        <w:rPr>
          <w:bCs/>
          <w:lang w:val="en-GB"/>
        </w:rPr>
        <w:t>Klement</w:t>
      </w:r>
      <w:proofErr w:type="spellEnd"/>
      <w:r w:rsidRPr="00C53698">
        <w:rPr>
          <w:bCs/>
          <w:lang w:val="en-GB"/>
        </w:rPr>
        <w:t xml:space="preserve"> W, Tea F, Bouthillier A, </w:t>
      </w:r>
      <w:proofErr w:type="spellStart"/>
      <w:r w:rsidRPr="00C53698">
        <w:rPr>
          <w:bCs/>
          <w:lang w:val="en-GB"/>
        </w:rPr>
        <w:t>Moumdjian</w:t>
      </w:r>
      <w:proofErr w:type="spellEnd"/>
      <w:r w:rsidRPr="00C53698">
        <w:rPr>
          <w:bCs/>
          <w:lang w:val="en-GB"/>
        </w:rPr>
        <w:t xml:space="preserve"> R, </w:t>
      </w:r>
      <w:proofErr w:type="spellStart"/>
      <w:r w:rsidRPr="00C53698">
        <w:rPr>
          <w:bCs/>
          <w:lang w:val="en-GB"/>
        </w:rPr>
        <w:t>Cayrol</w:t>
      </w:r>
      <w:proofErr w:type="spellEnd"/>
      <w:r w:rsidRPr="00C53698">
        <w:rPr>
          <w:bCs/>
          <w:lang w:val="en-GB"/>
        </w:rPr>
        <w:t xml:space="preserve"> R, Duquette P, Girard M, Larochelle C, Arbour N, and Prat A. CLMP Promotes Leukocyte Migration Across Brain Barriers in MS. </w:t>
      </w:r>
      <w:proofErr w:type="spellStart"/>
      <w:r w:rsidRPr="00C53698">
        <w:rPr>
          <w:b/>
          <w:lang w:val="fr-CA"/>
        </w:rPr>
        <w:t>Neurology</w:t>
      </w:r>
      <w:proofErr w:type="spellEnd"/>
      <w:r w:rsidRPr="00C53698">
        <w:rPr>
          <w:b/>
          <w:lang w:val="fr-CA"/>
        </w:rPr>
        <w:t xml:space="preserve">: </w:t>
      </w:r>
      <w:proofErr w:type="spellStart"/>
      <w:r w:rsidRPr="00C53698">
        <w:rPr>
          <w:b/>
          <w:lang w:val="fr-CA"/>
        </w:rPr>
        <w:t>Neuroimmunology</w:t>
      </w:r>
      <w:proofErr w:type="spellEnd"/>
      <w:r w:rsidRPr="00C53698">
        <w:rPr>
          <w:b/>
          <w:lang w:val="fr-CA"/>
        </w:rPr>
        <w:t xml:space="preserve"> &amp; </w:t>
      </w:r>
      <w:proofErr w:type="spellStart"/>
      <w:r w:rsidRPr="00C53698">
        <w:rPr>
          <w:b/>
          <w:lang w:val="fr-CA"/>
        </w:rPr>
        <w:t>Neuroinflammation</w:t>
      </w:r>
      <w:proofErr w:type="spellEnd"/>
      <w:r w:rsidRPr="00C53698">
        <w:rPr>
          <w:b/>
          <w:lang w:val="fr-CA"/>
        </w:rPr>
        <w:t xml:space="preserve">. </w:t>
      </w:r>
      <w:r w:rsidRPr="00C53698">
        <w:rPr>
          <w:b/>
        </w:rPr>
        <w:t xml:space="preserve">2022. </w:t>
      </w:r>
      <w:r w:rsidRPr="00C53698">
        <w:rPr>
          <w:bCs/>
        </w:rPr>
        <w:t>doi:10.1212/NXI.0000000000200022</w:t>
      </w:r>
    </w:p>
    <w:p w14:paraId="0CE821AB" w14:textId="77777777" w:rsidR="005E396E" w:rsidRPr="00C53698" w:rsidRDefault="005E396E" w:rsidP="008B36B6">
      <w:pPr>
        <w:pStyle w:val="DataField11pt-Single"/>
        <w:jc w:val="both"/>
        <w:rPr>
          <w:bCs/>
        </w:rPr>
      </w:pPr>
    </w:p>
    <w:p w14:paraId="4A684A99" w14:textId="4D1729FE" w:rsidR="005E396E" w:rsidRPr="00C53698" w:rsidRDefault="005E396E" w:rsidP="008B36B6">
      <w:pPr>
        <w:pStyle w:val="DataField11pt-Single"/>
        <w:jc w:val="both"/>
        <w:rPr>
          <w:bCs/>
          <w:lang w:val="en-GB"/>
        </w:rPr>
      </w:pPr>
      <w:r w:rsidRPr="00C53698">
        <w:rPr>
          <w:bCs/>
        </w:rPr>
        <w:t xml:space="preserve">3. </w:t>
      </w:r>
      <w:r w:rsidRPr="00C53698">
        <w:rPr>
          <w:b/>
        </w:rPr>
        <w:t>Fournier AP</w:t>
      </w:r>
      <w:r w:rsidRPr="00C53698">
        <w:rPr>
          <w:bCs/>
        </w:rPr>
        <w:t xml:space="preserve">, Martinez de </w:t>
      </w:r>
      <w:proofErr w:type="spellStart"/>
      <w:r w:rsidRPr="00C53698">
        <w:rPr>
          <w:bCs/>
        </w:rPr>
        <w:t>Lizarrondo</w:t>
      </w:r>
      <w:proofErr w:type="spellEnd"/>
      <w:r w:rsidRPr="00C53698">
        <w:rPr>
          <w:bCs/>
        </w:rPr>
        <w:t xml:space="preserve"> S, </w:t>
      </w:r>
      <w:proofErr w:type="spellStart"/>
      <w:r w:rsidRPr="00C53698">
        <w:rPr>
          <w:bCs/>
        </w:rPr>
        <w:t>Rateau</w:t>
      </w:r>
      <w:proofErr w:type="spellEnd"/>
      <w:r w:rsidRPr="00C53698">
        <w:rPr>
          <w:bCs/>
        </w:rPr>
        <w:t xml:space="preserve"> A, Gerard-</w:t>
      </w:r>
      <w:proofErr w:type="spellStart"/>
      <w:r w:rsidRPr="00C53698">
        <w:rPr>
          <w:bCs/>
        </w:rPr>
        <w:t>Brisou</w:t>
      </w:r>
      <w:proofErr w:type="spellEnd"/>
      <w:r w:rsidRPr="00C53698">
        <w:rPr>
          <w:bCs/>
        </w:rPr>
        <w:t xml:space="preserve"> A, J Waldner M, F </w:t>
      </w:r>
      <w:proofErr w:type="spellStart"/>
      <w:r w:rsidRPr="00C53698">
        <w:rPr>
          <w:bCs/>
        </w:rPr>
        <w:t>Neurath</w:t>
      </w:r>
      <w:proofErr w:type="spellEnd"/>
      <w:r w:rsidRPr="00C53698">
        <w:rPr>
          <w:bCs/>
        </w:rPr>
        <w:t xml:space="preserve"> M, Vivien D, </w:t>
      </w:r>
      <w:proofErr w:type="spellStart"/>
      <w:r w:rsidRPr="00C53698">
        <w:rPr>
          <w:bCs/>
        </w:rPr>
        <w:t>Docagne</w:t>
      </w:r>
      <w:proofErr w:type="spellEnd"/>
      <w:r w:rsidRPr="00C53698">
        <w:rPr>
          <w:bCs/>
        </w:rPr>
        <w:t xml:space="preserve"> F, </w:t>
      </w:r>
      <w:proofErr w:type="spellStart"/>
      <w:r w:rsidRPr="00C53698">
        <w:rPr>
          <w:bCs/>
        </w:rPr>
        <w:t>Gauberti</w:t>
      </w:r>
      <w:proofErr w:type="spellEnd"/>
      <w:r w:rsidRPr="00C53698">
        <w:rPr>
          <w:bCs/>
        </w:rPr>
        <w:t xml:space="preserve"> M. Ultrasensitive Molecular Imaging of Intestinal Mucosal Inflammation Using Leukocyte-Mimicking Particles Targeted to MAdCAM-1 in Mice. </w:t>
      </w:r>
      <w:r w:rsidRPr="00C53698">
        <w:rPr>
          <w:b/>
          <w:lang w:val="en-GB"/>
        </w:rPr>
        <w:t xml:space="preserve">Science translational Medicine. 2020. </w:t>
      </w:r>
      <w:proofErr w:type="spellStart"/>
      <w:r w:rsidRPr="00C53698">
        <w:rPr>
          <w:bCs/>
          <w:lang w:val="en-GB"/>
        </w:rPr>
        <w:t>doi</w:t>
      </w:r>
      <w:proofErr w:type="spellEnd"/>
      <w:r w:rsidRPr="00C53698">
        <w:rPr>
          <w:bCs/>
          <w:lang w:val="en-GB"/>
        </w:rPr>
        <w:t>: 10.1126/</w:t>
      </w:r>
      <w:proofErr w:type="gramStart"/>
      <w:r w:rsidRPr="00C53698">
        <w:rPr>
          <w:bCs/>
          <w:lang w:val="en-GB"/>
        </w:rPr>
        <w:t>scitranslmed.aaz</w:t>
      </w:r>
      <w:proofErr w:type="gramEnd"/>
      <w:r w:rsidRPr="00C53698">
        <w:rPr>
          <w:bCs/>
          <w:lang w:val="en-GB"/>
        </w:rPr>
        <w:t>4047</w:t>
      </w:r>
    </w:p>
    <w:p w14:paraId="5EC6885F" w14:textId="77777777" w:rsidR="005E396E" w:rsidRPr="00C53698" w:rsidRDefault="005E396E" w:rsidP="008B36B6">
      <w:pPr>
        <w:pStyle w:val="DataField11pt-Single"/>
        <w:jc w:val="both"/>
        <w:rPr>
          <w:bCs/>
          <w:lang w:val="en-GB"/>
        </w:rPr>
      </w:pPr>
    </w:p>
    <w:p w14:paraId="6DAC124C" w14:textId="3A6E031C" w:rsidR="005E396E" w:rsidRPr="00C53698" w:rsidRDefault="005E396E" w:rsidP="008B36B6">
      <w:pPr>
        <w:pStyle w:val="DataField11pt-Single"/>
        <w:jc w:val="both"/>
        <w:rPr>
          <w:lang w:val="en-GB"/>
        </w:rPr>
      </w:pPr>
      <w:r w:rsidRPr="00C53698">
        <w:rPr>
          <w:bCs/>
        </w:rPr>
        <w:t xml:space="preserve">4. </w:t>
      </w:r>
      <w:r w:rsidRPr="00C53698">
        <w:rPr>
          <w:b/>
        </w:rPr>
        <w:t>Fournier AP</w:t>
      </w:r>
      <w:r w:rsidRPr="00C53698">
        <w:rPr>
          <w:bCs/>
        </w:rPr>
        <w:t xml:space="preserve">, </w:t>
      </w:r>
      <w:proofErr w:type="spellStart"/>
      <w:r w:rsidRPr="00C53698">
        <w:rPr>
          <w:bCs/>
        </w:rPr>
        <w:t>Gauberti</w:t>
      </w:r>
      <w:proofErr w:type="spellEnd"/>
      <w:r w:rsidRPr="00C53698">
        <w:rPr>
          <w:bCs/>
        </w:rPr>
        <w:t xml:space="preserve"> M, </w:t>
      </w:r>
      <w:proofErr w:type="spellStart"/>
      <w:r w:rsidRPr="00C53698">
        <w:rPr>
          <w:bCs/>
        </w:rPr>
        <w:t>Quenault</w:t>
      </w:r>
      <w:proofErr w:type="spellEnd"/>
      <w:r w:rsidRPr="00C53698">
        <w:rPr>
          <w:bCs/>
        </w:rPr>
        <w:t xml:space="preserve"> A, Vivien D, </w:t>
      </w:r>
      <w:proofErr w:type="spellStart"/>
      <w:r w:rsidRPr="00C53698">
        <w:rPr>
          <w:bCs/>
        </w:rPr>
        <w:t>Macrez</w:t>
      </w:r>
      <w:proofErr w:type="spellEnd"/>
      <w:r w:rsidRPr="00C53698">
        <w:rPr>
          <w:bCs/>
        </w:rPr>
        <w:t xml:space="preserve"> R, </w:t>
      </w:r>
      <w:proofErr w:type="spellStart"/>
      <w:r w:rsidRPr="00C53698">
        <w:rPr>
          <w:bCs/>
        </w:rPr>
        <w:t>Docagne</w:t>
      </w:r>
      <w:proofErr w:type="spellEnd"/>
      <w:r w:rsidRPr="00C53698">
        <w:rPr>
          <w:bCs/>
        </w:rPr>
        <w:t xml:space="preserve"> F.</w:t>
      </w:r>
      <w:r w:rsidRPr="00C53698">
        <w:t xml:space="preserve"> </w:t>
      </w:r>
      <w:r w:rsidRPr="00C53698">
        <w:rPr>
          <w:bCs/>
        </w:rPr>
        <w:t xml:space="preserve">Reduced Spinal Cord Parenchymal CSF Circulation in Experimental Autoimmune Encephalomyelitis. </w:t>
      </w:r>
      <w:r w:rsidRPr="00C53698">
        <w:rPr>
          <w:b/>
          <w:bCs/>
          <w:lang w:val="en-GB"/>
        </w:rPr>
        <w:t xml:space="preserve">Journal of Cerebral Blood Flow and Metabolism. 2018. </w:t>
      </w:r>
      <w:proofErr w:type="spellStart"/>
      <w:r w:rsidRPr="00C53698">
        <w:rPr>
          <w:lang w:val="en-GB"/>
        </w:rPr>
        <w:t>doi</w:t>
      </w:r>
      <w:proofErr w:type="spellEnd"/>
      <w:r w:rsidRPr="00C53698">
        <w:rPr>
          <w:lang w:val="en-GB"/>
        </w:rPr>
        <w:t>: 10.1177/0271678X18754732</w:t>
      </w:r>
    </w:p>
    <w:p w14:paraId="4C84486F" w14:textId="77777777" w:rsidR="005E396E" w:rsidRPr="00C53698" w:rsidRDefault="005E396E" w:rsidP="008B36B6">
      <w:pPr>
        <w:pStyle w:val="DataField11pt-Single"/>
        <w:jc w:val="both"/>
        <w:rPr>
          <w:lang w:val="en-GB"/>
        </w:rPr>
      </w:pPr>
    </w:p>
    <w:p w14:paraId="4D2C8ECA" w14:textId="02E74F6C" w:rsidR="005E396E" w:rsidRPr="00C53698" w:rsidRDefault="005E396E" w:rsidP="008B36B6">
      <w:pPr>
        <w:pStyle w:val="DataField11pt-Single"/>
        <w:jc w:val="both"/>
        <w:rPr>
          <w:szCs w:val="22"/>
        </w:rPr>
      </w:pPr>
      <w:r w:rsidRPr="00C53698">
        <w:t xml:space="preserve">5. </w:t>
      </w:r>
      <w:r w:rsidRPr="00C53698">
        <w:rPr>
          <w:b/>
          <w:bCs/>
        </w:rPr>
        <w:t>Fournier AP</w:t>
      </w:r>
      <w:r w:rsidRPr="00C53698">
        <w:t xml:space="preserve">, </w:t>
      </w:r>
      <w:proofErr w:type="spellStart"/>
      <w:r w:rsidRPr="00C53698">
        <w:t>Quenault</w:t>
      </w:r>
      <w:proofErr w:type="spellEnd"/>
      <w:r w:rsidRPr="00C53698">
        <w:t xml:space="preserve"> A, Martinez de </w:t>
      </w:r>
      <w:proofErr w:type="spellStart"/>
      <w:r w:rsidRPr="00C53698">
        <w:t>Lizarrondo</w:t>
      </w:r>
      <w:proofErr w:type="spellEnd"/>
      <w:r w:rsidRPr="00C53698">
        <w:t xml:space="preserve"> S, </w:t>
      </w:r>
      <w:proofErr w:type="spellStart"/>
      <w:r w:rsidRPr="00C53698">
        <w:t>Gauberti</w:t>
      </w:r>
      <w:proofErr w:type="spellEnd"/>
      <w:r w:rsidRPr="00C53698">
        <w:t xml:space="preserve"> M, Defer G, Vivien D, </w:t>
      </w:r>
      <w:proofErr w:type="spellStart"/>
      <w:r w:rsidRPr="00C53698">
        <w:t>Docagne</w:t>
      </w:r>
      <w:proofErr w:type="spellEnd"/>
      <w:r w:rsidRPr="00C53698">
        <w:t xml:space="preserve"> F, </w:t>
      </w:r>
      <w:proofErr w:type="spellStart"/>
      <w:r w:rsidRPr="00C53698">
        <w:t>Macrez</w:t>
      </w:r>
      <w:proofErr w:type="spellEnd"/>
      <w:r w:rsidRPr="00C53698">
        <w:t xml:space="preserve"> R. Prediction of Disease Activity in Models of Multiple Sclerosis by Molecular Magnetic Resonance Imaging of P-selectin. </w:t>
      </w:r>
      <w:r w:rsidRPr="00C53698">
        <w:rPr>
          <w:b/>
        </w:rPr>
        <w:t xml:space="preserve">Proceedings of the National Academy of Sciences. 2017. </w:t>
      </w:r>
      <w:proofErr w:type="spellStart"/>
      <w:r w:rsidRPr="00C53698">
        <w:rPr>
          <w:bCs/>
        </w:rPr>
        <w:t>doi</w:t>
      </w:r>
      <w:proofErr w:type="spellEnd"/>
      <w:r w:rsidRPr="00C53698">
        <w:rPr>
          <w:bCs/>
        </w:rPr>
        <w:t>: 10.1073/pnas.1619424114</w:t>
      </w:r>
    </w:p>
    <w:p w14:paraId="589BAECC" w14:textId="6DB683CE" w:rsidR="00F10D5C" w:rsidRPr="00C53698" w:rsidRDefault="00F10D5C">
      <w:pPr>
        <w:pStyle w:val="DataField11pt-Single"/>
        <w:rPr>
          <w:szCs w:val="22"/>
        </w:rPr>
      </w:pPr>
    </w:p>
    <w:p w14:paraId="1803F317" w14:textId="430ADC2A" w:rsidR="00AC765F" w:rsidRPr="00C53698" w:rsidRDefault="005D24EC" w:rsidP="00AC765F">
      <w:pPr>
        <w:tabs>
          <w:tab w:val="left" w:pos="1184"/>
        </w:tabs>
        <w:rPr>
          <w:rFonts w:ascii="Arial" w:hAnsi="Arial" w:cs="Arial"/>
          <w:b/>
          <w:bCs/>
          <w:szCs w:val="22"/>
        </w:rPr>
      </w:pPr>
      <w:r w:rsidRPr="00C53698">
        <w:rPr>
          <w:rFonts w:ascii="Arial" w:hAnsi="Arial" w:cs="Arial"/>
          <w:b/>
          <w:bCs/>
          <w:szCs w:val="22"/>
        </w:rPr>
        <w:lastRenderedPageBreak/>
        <w:t xml:space="preserve">C. </w:t>
      </w:r>
      <w:r w:rsidRPr="00C53698">
        <w:rPr>
          <w:rFonts w:ascii="Arial" w:hAnsi="Arial" w:cs="Arial"/>
          <w:b/>
          <w:bCs/>
          <w:szCs w:val="22"/>
        </w:rPr>
        <w:t>Current</w:t>
      </w:r>
      <w:r w:rsidRPr="00C53698">
        <w:rPr>
          <w:rFonts w:ascii="Arial" w:hAnsi="Arial" w:cs="Arial"/>
          <w:b/>
          <w:bCs/>
          <w:szCs w:val="22"/>
        </w:rPr>
        <w:t xml:space="preserve"> and previous</w:t>
      </w:r>
      <w:r w:rsidRPr="00C53698">
        <w:rPr>
          <w:rFonts w:ascii="Arial" w:hAnsi="Arial" w:cs="Arial"/>
          <w:b/>
          <w:bCs/>
          <w:szCs w:val="22"/>
        </w:rPr>
        <w:t xml:space="preserve"> grant support among others</w:t>
      </w:r>
    </w:p>
    <w:p w14:paraId="14B7DAC8" w14:textId="77777777" w:rsidR="005D24EC" w:rsidRPr="00C53698" w:rsidRDefault="005D24EC" w:rsidP="00AC765F">
      <w:pPr>
        <w:tabs>
          <w:tab w:val="left" w:pos="1184"/>
        </w:tabs>
        <w:rPr>
          <w:rFonts w:ascii="Arial" w:hAnsi="Arial" w:cs="Arial"/>
          <w:b/>
          <w:bCs/>
          <w:szCs w:val="22"/>
        </w:rPr>
      </w:pPr>
    </w:p>
    <w:p w14:paraId="4E386939" w14:textId="6A65996E" w:rsidR="00254770" w:rsidRPr="00C53698" w:rsidRDefault="00254770" w:rsidP="00254770">
      <w:pPr>
        <w:rPr>
          <w:rFonts w:ascii="Arial" w:hAnsi="Arial" w:cs="Arial"/>
          <w:b/>
          <w:sz w:val="22"/>
          <w:szCs w:val="22"/>
        </w:rPr>
      </w:pPr>
      <w:r w:rsidRPr="00C53698">
        <w:rPr>
          <w:rFonts w:ascii="Arial" w:hAnsi="Arial" w:cs="Arial"/>
          <w:b/>
          <w:sz w:val="22"/>
          <w:szCs w:val="22"/>
        </w:rPr>
        <w:t>2023</w:t>
      </w:r>
      <w:r w:rsidRPr="00C53698">
        <w:rPr>
          <w:rFonts w:ascii="Arial" w:hAnsi="Arial" w:cs="Arial"/>
          <w:b/>
          <w:sz w:val="22"/>
          <w:szCs w:val="22"/>
        </w:rPr>
        <w:t xml:space="preserve"> </w:t>
      </w:r>
      <w:r w:rsidRPr="00C53698">
        <w:rPr>
          <w:rFonts w:ascii="Arial" w:hAnsi="Arial" w:cs="Arial"/>
          <w:bCs/>
          <w:sz w:val="22"/>
          <w:szCs w:val="22"/>
        </w:rPr>
        <w:t>Marie S</w:t>
      </w:r>
      <w:proofErr w:type="spellStart"/>
      <w:r w:rsidRPr="00C53698">
        <w:rPr>
          <w:rFonts w:ascii="Arial" w:hAnsi="Arial" w:cs="Arial"/>
          <w:bCs/>
          <w:sz w:val="22"/>
          <w:szCs w:val="22"/>
        </w:rPr>
        <w:t>kłodowska</w:t>
      </w:r>
      <w:proofErr w:type="spellEnd"/>
      <w:r w:rsidRPr="00C53698">
        <w:rPr>
          <w:rFonts w:ascii="Arial" w:hAnsi="Arial" w:cs="Arial"/>
          <w:bCs/>
          <w:sz w:val="22"/>
          <w:szCs w:val="22"/>
        </w:rPr>
        <w:t xml:space="preserve"> – Curie Actions</w:t>
      </w:r>
      <w:r w:rsidRPr="00C5369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53698">
        <w:rPr>
          <w:rFonts w:ascii="Arial" w:hAnsi="Arial" w:cs="Arial"/>
          <w:bCs/>
          <w:sz w:val="22"/>
          <w:szCs w:val="22"/>
        </w:rPr>
        <w:t>Cofund</w:t>
      </w:r>
      <w:proofErr w:type="spellEnd"/>
      <w:r w:rsidRPr="00C53698">
        <w:rPr>
          <w:rFonts w:ascii="Arial" w:hAnsi="Arial" w:cs="Arial"/>
          <w:bCs/>
          <w:sz w:val="22"/>
          <w:szCs w:val="22"/>
        </w:rPr>
        <w:t xml:space="preserve"> </w:t>
      </w:r>
      <w:r w:rsidRPr="00C53698">
        <w:rPr>
          <w:rFonts w:ascii="Arial" w:hAnsi="Arial" w:cs="Arial"/>
          <w:bCs/>
          <w:sz w:val="22"/>
          <w:szCs w:val="22"/>
        </w:rPr>
        <w:t xml:space="preserve">Postdoctoral </w:t>
      </w:r>
      <w:r w:rsidRPr="00C53698">
        <w:rPr>
          <w:rFonts w:ascii="Arial" w:hAnsi="Arial" w:cs="Arial"/>
          <w:bCs/>
          <w:sz w:val="22"/>
          <w:szCs w:val="22"/>
        </w:rPr>
        <w:t>F</w:t>
      </w:r>
      <w:r w:rsidRPr="00C53698">
        <w:rPr>
          <w:rFonts w:ascii="Arial" w:hAnsi="Arial" w:cs="Arial"/>
          <w:bCs/>
          <w:sz w:val="22"/>
          <w:szCs w:val="22"/>
        </w:rPr>
        <w:t>ellowship,</w:t>
      </w:r>
      <w:r w:rsidRPr="00C53698">
        <w:rPr>
          <w:rFonts w:ascii="Arial" w:hAnsi="Arial" w:cs="Arial"/>
          <w:bCs/>
          <w:sz w:val="22"/>
          <w:szCs w:val="22"/>
        </w:rPr>
        <w:t xml:space="preserve"> W</w:t>
      </w:r>
      <w:proofErr w:type="spellStart"/>
      <w:r w:rsidRPr="00C53698">
        <w:rPr>
          <w:rFonts w:ascii="Arial" w:hAnsi="Arial" w:cs="Arial"/>
          <w:bCs/>
          <w:sz w:val="22"/>
          <w:szCs w:val="22"/>
        </w:rPr>
        <w:t>INNINGNormandy</w:t>
      </w:r>
      <w:proofErr w:type="spellEnd"/>
      <w:r w:rsidRPr="00C53698">
        <w:rPr>
          <w:rFonts w:ascii="Arial" w:hAnsi="Arial" w:cs="Arial"/>
          <w:bCs/>
          <w:sz w:val="22"/>
          <w:szCs w:val="22"/>
        </w:rPr>
        <w:t xml:space="preserve">. </w:t>
      </w:r>
    </w:p>
    <w:p w14:paraId="652A66A6" w14:textId="77777777" w:rsidR="00254770" w:rsidRPr="00C53698" w:rsidRDefault="00254770" w:rsidP="0025477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B0EAEA" w14:textId="14D91AC5" w:rsidR="00254770" w:rsidRPr="00C53698" w:rsidRDefault="00254770" w:rsidP="00254770">
      <w:pPr>
        <w:ind w:left="1416" w:hanging="1416"/>
        <w:jc w:val="both"/>
        <w:rPr>
          <w:rFonts w:ascii="Arial" w:hAnsi="Arial" w:cs="Arial"/>
          <w:bCs/>
          <w:sz w:val="22"/>
          <w:szCs w:val="22"/>
        </w:rPr>
      </w:pPr>
      <w:r w:rsidRPr="00C53698">
        <w:rPr>
          <w:rFonts w:ascii="Arial" w:hAnsi="Arial" w:cs="Arial"/>
          <w:b/>
          <w:bCs/>
          <w:sz w:val="22"/>
          <w:szCs w:val="22"/>
          <w:lang w:val="fr-CA"/>
        </w:rPr>
        <w:t>2021</w:t>
      </w:r>
      <w:r w:rsidRPr="00C53698">
        <w:rPr>
          <w:rFonts w:ascii="Arial" w:hAnsi="Arial" w:cs="Arial"/>
          <w:bCs/>
          <w:sz w:val="22"/>
          <w:szCs w:val="22"/>
          <w:lang w:val="fr-CA"/>
        </w:rPr>
        <w:t xml:space="preserve"> P</w:t>
      </w:r>
      <w:r w:rsidRPr="00C53698">
        <w:rPr>
          <w:rFonts w:ascii="Arial" w:hAnsi="Arial" w:cs="Arial"/>
          <w:bCs/>
          <w:sz w:val="22"/>
          <w:szCs w:val="22"/>
          <w:lang w:val="fr-CA"/>
        </w:rPr>
        <w:t xml:space="preserve">ostdoctoral </w:t>
      </w:r>
      <w:proofErr w:type="spellStart"/>
      <w:r w:rsidRPr="00C53698">
        <w:rPr>
          <w:rFonts w:ascii="Arial" w:hAnsi="Arial" w:cs="Arial"/>
          <w:bCs/>
          <w:sz w:val="22"/>
          <w:szCs w:val="22"/>
          <w:lang w:val="fr-CA"/>
        </w:rPr>
        <w:t>fellowship</w:t>
      </w:r>
      <w:proofErr w:type="spellEnd"/>
      <w:r w:rsidRPr="00C53698">
        <w:rPr>
          <w:rFonts w:ascii="Arial" w:hAnsi="Arial" w:cs="Arial"/>
          <w:bCs/>
          <w:sz w:val="22"/>
          <w:szCs w:val="22"/>
          <w:lang w:val="fr-CA"/>
        </w:rPr>
        <w:t>,</w:t>
      </w:r>
      <w:r w:rsidRPr="00C53698">
        <w:rPr>
          <w:rFonts w:ascii="Arial" w:hAnsi="Arial" w:cs="Arial"/>
          <w:bCs/>
          <w:lang w:val="fr-CA"/>
        </w:rPr>
        <w:t xml:space="preserve"> </w:t>
      </w:r>
      <w:r w:rsidRPr="00C53698">
        <w:rPr>
          <w:rFonts w:ascii="Arial" w:hAnsi="Arial" w:cs="Arial"/>
          <w:bCs/>
          <w:sz w:val="22"/>
          <w:szCs w:val="22"/>
          <w:lang w:val="fr-CA"/>
        </w:rPr>
        <w:t xml:space="preserve">Fonds de recherche du Québec-santé (FRQS). </w:t>
      </w:r>
    </w:p>
    <w:p w14:paraId="6C30C91B" w14:textId="77777777" w:rsidR="00254770" w:rsidRPr="00C53698" w:rsidRDefault="00254770" w:rsidP="00254770">
      <w:pPr>
        <w:ind w:left="1416" w:hanging="1416"/>
        <w:jc w:val="both"/>
        <w:rPr>
          <w:rFonts w:ascii="Arial" w:hAnsi="Arial" w:cs="Arial"/>
          <w:b/>
          <w:bCs/>
          <w:sz w:val="22"/>
          <w:szCs w:val="22"/>
        </w:rPr>
      </w:pPr>
    </w:p>
    <w:p w14:paraId="269FF032" w14:textId="67E4A246" w:rsidR="00254770" w:rsidRPr="00C53698" w:rsidRDefault="00254770" w:rsidP="00254770">
      <w:pPr>
        <w:ind w:left="1416" w:hanging="1416"/>
        <w:jc w:val="both"/>
        <w:rPr>
          <w:rFonts w:ascii="Arial" w:hAnsi="Arial" w:cs="Arial"/>
          <w:bCs/>
          <w:sz w:val="22"/>
          <w:szCs w:val="22"/>
        </w:rPr>
      </w:pPr>
      <w:r w:rsidRPr="00C53698">
        <w:rPr>
          <w:rFonts w:ascii="Arial" w:hAnsi="Arial" w:cs="Arial"/>
          <w:b/>
          <w:bCs/>
          <w:sz w:val="22"/>
          <w:szCs w:val="22"/>
        </w:rPr>
        <w:t>2019</w:t>
      </w:r>
      <w:r w:rsidRPr="00C53698">
        <w:rPr>
          <w:rFonts w:ascii="Arial" w:hAnsi="Arial" w:cs="Arial"/>
          <w:bCs/>
          <w:sz w:val="22"/>
          <w:szCs w:val="22"/>
        </w:rPr>
        <w:t xml:space="preserve"> </w:t>
      </w:r>
      <w:r w:rsidRPr="00C53698">
        <w:rPr>
          <w:rFonts w:ascii="Arial" w:hAnsi="Arial" w:cs="Arial"/>
          <w:sz w:val="22"/>
          <w:szCs w:val="22"/>
        </w:rPr>
        <w:t>Postdoctoral fellowship,</w:t>
      </w:r>
      <w:r w:rsidRPr="00C53698">
        <w:rPr>
          <w:rFonts w:ascii="Arial" w:hAnsi="Arial" w:cs="Arial"/>
        </w:rPr>
        <w:t xml:space="preserve"> </w:t>
      </w:r>
      <w:r w:rsidRPr="00C53698">
        <w:rPr>
          <w:rFonts w:ascii="Arial" w:hAnsi="Arial" w:cs="Arial"/>
          <w:sz w:val="22"/>
          <w:szCs w:val="22"/>
        </w:rPr>
        <w:t>The Canadian Institutes of Health Research (CIHR).</w:t>
      </w:r>
      <w:r w:rsidRPr="00C53698">
        <w:rPr>
          <w:rFonts w:ascii="Arial" w:hAnsi="Arial" w:cs="Arial"/>
          <w:bCs/>
          <w:sz w:val="22"/>
          <w:szCs w:val="22"/>
        </w:rPr>
        <w:t xml:space="preserve"> </w:t>
      </w:r>
    </w:p>
    <w:p w14:paraId="60CE6A7B" w14:textId="77777777" w:rsidR="00254770" w:rsidRPr="00C53698" w:rsidRDefault="00254770" w:rsidP="00254770">
      <w:pPr>
        <w:rPr>
          <w:rFonts w:ascii="Arial" w:hAnsi="Arial" w:cs="Arial"/>
          <w:b/>
        </w:rPr>
      </w:pPr>
    </w:p>
    <w:p w14:paraId="69D7D2FD" w14:textId="7F758316" w:rsidR="00254770" w:rsidRPr="00C53698" w:rsidRDefault="00254770" w:rsidP="00254770">
      <w:pPr>
        <w:ind w:left="1416" w:hanging="1416"/>
        <w:jc w:val="both"/>
        <w:rPr>
          <w:rFonts w:ascii="Arial" w:hAnsi="Arial" w:cs="Arial"/>
          <w:bCs/>
          <w:sz w:val="22"/>
          <w:szCs w:val="22"/>
        </w:rPr>
      </w:pPr>
      <w:r w:rsidRPr="00C53698">
        <w:rPr>
          <w:rFonts w:ascii="Arial" w:hAnsi="Arial" w:cs="Arial"/>
          <w:b/>
          <w:bCs/>
          <w:sz w:val="22"/>
          <w:szCs w:val="22"/>
          <w:lang w:val="fr-CA"/>
        </w:rPr>
        <w:t>2019</w:t>
      </w:r>
      <w:r w:rsidRPr="00C53698">
        <w:rPr>
          <w:rFonts w:ascii="Arial" w:hAnsi="Arial" w:cs="Arial"/>
          <w:bCs/>
          <w:sz w:val="22"/>
          <w:szCs w:val="22"/>
          <w:lang w:val="fr-CA"/>
        </w:rPr>
        <w:t xml:space="preserve"> </w:t>
      </w:r>
      <w:r w:rsidRPr="00C53698">
        <w:rPr>
          <w:rFonts w:ascii="Arial" w:hAnsi="Arial" w:cs="Arial"/>
          <w:sz w:val="22"/>
          <w:szCs w:val="22"/>
          <w:lang w:val="fr-CA"/>
        </w:rPr>
        <w:t xml:space="preserve">Postdoctoral </w:t>
      </w:r>
      <w:proofErr w:type="spellStart"/>
      <w:r w:rsidRPr="00C53698">
        <w:rPr>
          <w:rFonts w:ascii="Arial" w:hAnsi="Arial" w:cs="Arial"/>
          <w:sz w:val="22"/>
          <w:szCs w:val="22"/>
          <w:lang w:val="fr-CA"/>
        </w:rPr>
        <w:t>fellowship</w:t>
      </w:r>
      <w:proofErr w:type="spellEnd"/>
      <w:r w:rsidRPr="00C53698">
        <w:rPr>
          <w:rFonts w:ascii="Arial" w:hAnsi="Arial" w:cs="Arial"/>
          <w:sz w:val="22"/>
          <w:szCs w:val="22"/>
          <w:lang w:val="fr-CA"/>
        </w:rPr>
        <w:t>,</w:t>
      </w:r>
      <w:r w:rsidRPr="00C53698">
        <w:rPr>
          <w:rFonts w:ascii="Arial" w:hAnsi="Arial" w:cs="Arial"/>
          <w:lang w:val="fr-CA"/>
        </w:rPr>
        <w:t xml:space="preserve"> </w:t>
      </w:r>
      <w:r w:rsidRPr="00C53698">
        <w:rPr>
          <w:rFonts w:ascii="Arial" w:hAnsi="Arial" w:cs="Arial"/>
          <w:sz w:val="22"/>
          <w:szCs w:val="22"/>
          <w:lang w:val="fr-CA"/>
        </w:rPr>
        <w:t>Fonds de recherche du Québec-santé (FRQS).</w:t>
      </w:r>
      <w:r w:rsidRPr="00C53698">
        <w:rPr>
          <w:rFonts w:ascii="Arial" w:hAnsi="Arial" w:cs="Arial"/>
          <w:bCs/>
          <w:sz w:val="22"/>
          <w:szCs w:val="22"/>
          <w:lang w:val="fr-CA"/>
        </w:rPr>
        <w:t xml:space="preserve"> </w:t>
      </w:r>
    </w:p>
    <w:p w14:paraId="26BE4722" w14:textId="77777777" w:rsidR="00254770" w:rsidRPr="00C53698" w:rsidRDefault="00254770" w:rsidP="00C9697C">
      <w:pPr>
        <w:jc w:val="both"/>
        <w:rPr>
          <w:rFonts w:ascii="Arial" w:hAnsi="Arial" w:cs="Arial"/>
          <w:bCs/>
          <w:sz w:val="22"/>
          <w:szCs w:val="22"/>
        </w:rPr>
      </w:pPr>
    </w:p>
    <w:p w14:paraId="6CBBA0CA" w14:textId="56B87179" w:rsidR="00254770" w:rsidRPr="00C53698" w:rsidRDefault="00254770" w:rsidP="00254770">
      <w:pPr>
        <w:jc w:val="both"/>
        <w:rPr>
          <w:rFonts w:ascii="Arial" w:hAnsi="Arial" w:cs="Arial"/>
          <w:bCs/>
          <w:sz w:val="22"/>
          <w:szCs w:val="22"/>
        </w:rPr>
      </w:pPr>
      <w:r w:rsidRPr="00C53698">
        <w:rPr>
          <w:rFonts w:ascii="Arial" w:hAnsi="Arial" w:cs="Arial"/>
          <w:b/>
          <w:bCs/>
          <w:sz w:val="22"/>
          <w:szCs w:val="22"/>
        </w:rPr>
        <w:t>201</w:t>
      </w:r>
      <w:r w:rsidRPr="00C53698">
        <w:rPr>
          <w:rFonts w:ascii="Arial" w:hAnsi="Arial" w:cs="Arial"/>
          <w:b/>
          <w:bCs/>
          <w:sz w:val="22"/>
          <w:szCs w:val="22"/>
        </w:rPr>
        <w:t>7</w:t>
      </w:r>
      <w:r w:rsidR="00C9697C">
        <w:rPr>
          <w:rFonts w:ascii="Arial" w:hAnsi="Arial" w:cs="Arial"/>
          <w:b/>
          <w:bCs/>
          <w:sz w:val="22"/>
          <w:szCs w:val="22"/>
        </w:rPr>
        <w:t>, 2018</w:t>
      </w:r>
      <w:r w:rsidRPr="00C53698">
        <w:rPr>
          <w:rFonts w:ascii="Arial" w:hAnsi="Arial" w:cs="Arial"/>
          <w:bCs/>
          <w:sz w:val="22"/>
          <w:szCs w:val="22"/>
        </w:rPr>
        <w:t xml:space="preserve"> </w:t>
      </w:r>
      <w:r w:rsidRPr="00C53698">
        <w:rPr>
          <w:rFonts w:ascii="Arial" w:hAnsi="Arial" w:cs="Arial"/>
          <w:sz w:val="22"/>
          <w:szCs w:val="22"/>
        </w:rPr>
        <w:t>Postdoctoral fellowship</w:t>
      </w:r>
      <w:r w:rsidRPr="00C53698">
        <w:rPr>
          <w:rFonts w:ascii="Arial" w:hAnsi="Arial" w:cs="Arial"/>
          <w:sz w:val="22"/>
          <w:szCs w:val="22"/>
        </w:rPr>
        <w:t>,</w:t>
      </w:r>
      <w:r w:rsidRPr="00C53698">
        <w:rPr>
          <w:rFonts w:ascii="Arial" w:hAnsi="Arial" w:cs="Arial"/>
          <w:sz w:val="22"/>
          <w:szCs w:val="22"/>
        </w:rPr>
        <w:t xml:space="preserve"> </w:t>
      </w:r>
      <w:r w:rsidRPr="00C53698">
        <w:rPr>
          <w:rFonts w:ascii="Arial" w:hAnsi="Arial" w:cs="Arial"/>
          <w:bCs/>
          <w:sz w:val="22"/>
          <w:szCs w:val="22"/>
        </w:rPr>
        <w:t>Roche.</w:t>
      </w:r>
    </w:p>
    <w:p w14:paraId="7514637C" w14:textId="77777777" w:rsidR="00254770" w:rsidRPr="00931E0C" w:rsidRDefault="00254770" w:rsidP="00254770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604DC0" w14:textId="77777777" w:rsidR="005D24EC" w:rsidRPr="005E396E" w:rsidRDefault="005D24EC" w:rsidP="00AC765F">
      <w:pPr>
        <w:tabs>
          <w:tab w:val="left" w:pos="1184"/>
        </w:tabs>
      </w:pPr>
    </w:p>
    <w:sectPr w:rsidR="005D24EC" w:rsidRPr="005E396E" w:rsidSect="00E86974">
      <w:footerReference w:type="default" r:id="rId10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E60CD" w14:textId="77777777" w:rsidR="00C6788D" w:rsidRDefault="00C6788D">
      <w:r>
        <w:separator/>
      </w:r>
    </w:p>
  </w:endnote>
  <w:endnote w:type="continuationSeparator" w:id="0">
    <w:p w14:paraId="6D2ECDD4" w14:textId="77777777" w:rsidR="00C6788D" w:rsidRDefault="00C6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03564" w14:textId="77777777" w:rsidR="00E86974" w:rsidRDefault="00E86974">
    <w:pPr>
      <w:pStyle w:val="Form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997B7" w14:textId="77777777" w:rsidR="00E86974" w:rsidRDefault="00E86974">
    <w:pPr>
      <w:pStyle w:val="FormFooterBorder"/>
    </w:pPr>
    <w:r>
      <w:t>PHS 398/2590 (Rev. 09/04)</w:t>
    </w:r>
    <w:r>
      <w:tab/>
      <w:t xml:space="preserve">Page </w:t>
    </w:r>
    <w:r>
      <w:rPr>
        <w:rStyle w:val="Numrodepage"/>
      </w:rPr>
      <w:t xml:space="preserve">    </w:t>
    </w:r>
    <w:r>
      <w:tab/>
    </w:r>
    <w:r>
      <w:rPr>
        <w:b/>
        <w:bCs/>
      </w:rPr>
      <w:t>Biographical Sketch Format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DE378" w14:textId="64AD7728" w:rsidR="00E86974" w:rsidRPr="00C4536F" w:rsidRDefault="00E86974">
    <w:pPr>
      <w:pStyle w:val="FormFooterBorder"/>
      <w:rPr>
        <w:lang w:val="fr-FR"/>
      </w:rPr>
    </w:pPr>
    <w:r w:rsidRPr="00C4536F">
      <w:rPr>
        <w:lang w:val="fr-FR"/>
      </w:rPr>
      <w:tab/>
      <w:t xml:space="preserve">Page </w:t>
    </w:r>
    <w:r w:rsidR="00243B99">
      <w:rPr>
        <w:lang w:val="fr-FR"/>
      </w:rPr>
      <w:t>2</w:t>
    </w:r>
    <w:r w:rsidRPr="00C4536F">
      <w:rPr>
        <w:lang w:val="fr-FR"/>
      </w:rPr>
      <w:tab/>
    </w:r>
    <w:r w:rsidRPr="00C4536F">
      <w:rPr>
        <w:b/>
        <w:bCs/>
        <w:lang w:val="fr-FR"/>
      </w:rPr>
      <w:t>Continuation Format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8A212" w14:textId="77777777" w:rsidR="00C6788D" w:rsidRDefault="00C6788D">
      <w:r>
        <w:separator/>
      </w:r>
    </w:p>
  </w:footnote>
  <w:footnote w:type="continuationSeparator" w:id="0">
    <w:p w14:paraId="2BFAB3B4" w14:textId="77777777" w:rsidR="00C6788D" w:rsidRDefault="00C6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56" w:type="dxa"/>
      <w:jc w:val="center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328"/>
      <w:gridCol w:w="5328"/>
    </w:tblGrid>
    <w:tr w:rsidR="00E86974" w14:paraId="3B869C8C" w14:textId="77777777">
      <w:trPr>
        <w:trHeight w:hRule="exact" w:val="360"/>
        <w:jc w:val="center"/>
      </w:trPr>
      <w:tc>
        <w:tcPr>
          <w:tcW w:w="5328" w:type="dxa"/>
          <w:tcBorders>
            <w:left w:val="nil"/>
            <w:right w:val="nil"/>
          </w:tcBorders>
          <w:vAlign w:val="bottom"/>
        </w:tcPr>
        <w:p w14:paraId="2E4CA6A1" w14:textId="77777777" w:rsidR="00E86974" w:rsidRDefault="00E86974" w:rsidP="00E86974">
          <w:pPr>
            <w:pStyle w:val="PIHeader"/>
          </w:pPr>
          <w:r>
            <w:t>Principal Investigator/Program Director (Last, First, Middle):</w:t>
          </w:r>
        </w:p>
      </w:tc>
      <w:tc>
        <w:tcPr>
          <w:tcW w:w="5328" w:type="dxa"/>
          <w:tcBorders>
            <w:left w:val="nil"/>
            <w:right w:val="nil"/>
          </w:tcBorders>
          <w:vAlign w:val="center"/>
        </w:tcPr>
        <w:p w14:paraId="4DA12EA0" w14:textId="77777777" w:rsidR="00E86974" w:rsidRDefault="00E86974" w:rsidP="00E86974">
          <w:pPr>
            <w:pStyle w:val="DataField11pt-Single"/>
          </w:pPr>
        </w:p>
      </w:tc>
    </w:tr>
  </w:tbl>
  <w:p w14:paraId="36307A55" w14:textId="77777777" w:rsidR="00E86974" w:rsidRDefault="00E86974">
    <w:pPr>
      <w:pStyle w:val="En-tte"/>
      <w:tabs>
        <w:tab w:val="clear" w:pos="8640"/>
        <w:tab w:val="right" w:pos="10800"/>
      </w:tabs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623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6ED7A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D009D2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04488676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C6EE5CE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B86BCA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1"/>
    <w:multiLevelType w:val="singleLevel"/>
    <w:tmpl w:val="25B4CBE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2"/>
    <w:multiLevelType w:val="singleLevel"/>
    <w:tmpl w:val="D1761C7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3"/>
    <w:multiLevelType w:val="singleLevel"/>
    <w:tmpl w:val="C1DCA67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FFFFFF88"/>
    <w:multiLevelType w:val="singleLevel"/>
    <w:tmpl w:val="02B2C3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C26D01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35A53CA"/>
    <w:multiLevelType w:val="hybridMultilevel"/>
    <w:tmpl w:val="625856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FF5D26"/>
    <w:multiLevelType w:val="hybridMultilevel"/>
    <w:tmpl w:val="F2D22396"/>
    <w:lvl w:ilvl="0" w:tplc="816A66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257B4"/>
    <w:multiLevelType w:val="multilevel"/>
    <w:tmpl w:val="B1128372"/>
    <w:lvl w:ilvl="0">
      <w:start w:val="199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1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0752166C"/>
    <w:multiLevelType w:val="hybridMultilevel"/>
    <w:tmpl w:val="14B83EA8"/>
    <w:lvl w:ilvl="0" w:tplc="0E1C93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26674E"/>
    <w:multiLevelType w:val="hybridMultilevel"/>
    <w:tmpl w:val="1F1CC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B1396D"/>
    <w:multiLevelType w:val="multilevel"/>
    <w:tmpl w:val="86D28A98"/>
    <w:lvl w:ilvl="0">
      <w:start w:val="1993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1994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138E681E"/>
    <w:multiLevelType w:val="singleLevel"/>
    <w:tmpl w:val="04090013"/>
    <w:lvl w:ilvl="0">
      <w:start w:val="5"/>
      <w:numFmt w:val="upperRoman"/>
      <w:pStyle w:val="ReminderLis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19D2420B"/>
    <w:multiLevelType w:val="multilevel"/>
    <w:tmpl w:val="B532E036"/>
    <w:lvl w:ilvl="0">
      <w:start w:val="2014"/>
      <w:numFmt w:val="decimal"/>
      <w:lvlText w:val="%1"/>
      <w:lvlJc w:val="left"/>
      <w:pPr>
        <w:ind w:left="1060" w:hanging="1060"/>
      </w:pPr>
      <w:rPr>
        <w:rFonts w:eastAsia="Calibri" w:hint="default"/>
        <w:b w:val="0"/>
      </w:rPr>
    </w:lvl>
    <w:lvl w:ilvl="1">
      <w:start w:val="2017"/>
      <w:numFmt w:val="decimal"/>
      <w:lvlText w:val="%1-%2"/>
      <w:lvlJc w:val="left"/>
      <w:pPr>
        <w:ind w:left="4463" w:hanging="106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19" w15:restartNumberingAfterBreak="0">
    <w:nsid w:val="1E9E5D32"/>
    <w:multiLevelType w:val="hybridMultilevel"/>
    <w:tmpl w:val="FBD837AE"/>
    <w:lvl w:ilvl="0" w:tplc="596CFF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2330A0"/>
    <w:multiLevelType w:val="hybridMultilevel"/>
    <w:tmpl w:val="8538447E"/>
    <w:lvl w:ilvl="0" w:tplc="065EB5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E391D"/>
    <w:multiLevelType w:val="multilevel"/>
    <w:tmpl w:val="8CB47C04"/>
    <w:lvl w:ilvl="0">
      <w:start w:val="2004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5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51F2738"/>
    <w:multiLevelType w:val="multilevel"/>
    <w:tmpl w:val="B0FC519E"/>
    <w:lvl w:ilvl="0">
      <w:start w:val="2005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08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468F272C"/>
    <w:multiLevelType w:val="multilevel"/>
    <w:tmpl w:val="E3469486"/>
    <w:lvl w:ilvl="0">
      <w:start w:val="2001"/>
      <w:numFmt w:val="decimal"/>
      <w:lvlText w:val="%1"/>
      <w:lvlJc w:val="left"/>
      <w:pPr>
        <w:ind w:left="1060" w:hanging="1060"/>
      </w:pPr>
      <w:rPr>
        <w:rFonts w:hint="default"/>
        <w:b w:val="0"/>
      </w:rPr>
    </w:lvl>
    <w:lvl w:ilvl="1">
      <w:start w:val="2016"/>
      <w:numFmt w:val="decimal"/>
      <w:lvlText w:val="%1-%2"/>
      <w:lvlJc w:val="left"/>
      <w:pPr>
        <w:ind w:left="1060" w:hanging="10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60" w:hanging="106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60" w:hanging="106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9382BAB"/>
    <w:multiLevelType w:val="hybridMultilevel"/>
    <w:tmpl w:val="3F9CABFA"/>
    <w:lvl w:ilvl="0" w:tplc="1284CD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067CD"/>
    <w:multiLevelType w:val="hybridMultilevel"/>
    <w:tmpl w:val="DCC060EC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E62D8"/>
    <w:multiLevelType w:val="multilevel"/>
    <w:tmpl w:val="55E0F6FE"/>
    <w:lvl w:ilvl="0">
      <w:start w:val="1"/>
      <w:numFmt w:val="decimal"/>
      <w:pStyle w:val="ReminderList1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4FAB0C72"/>
    <w:multiLevelType w:val="hybridMultilevel"/>
    <w:tmpl w:val="172C65FE"/>
    <w:lvl w:ilvl="0" w:tplc="3D0436D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20EF2"/>
    <w:multiLevelType w:val="hybridMultilevel"/>
    <w:tmpl w:val="2CF08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3185D"/>
    <w:multiLevelType w:val="hybridMultilevel"/>
    <w:tmpl w:val="2CF081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F4D75"/>
    <w:multiLevelType w:val="hybridMultilevel"/>
    <w:tmpl w:val="B33C8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436EA"/>
    <w:multiLevelType w:val="hybridMultilevel"/>
    <w:tmpl w:val="EB56F1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EC4447"/>
    <w:multiLevelType w:val="singleLevel"/>
    <w:tmpl w:val="04090001"/>
    <w:lvl w:ilvl="0">
      <w:start w:val="1"/>
      <w:numFmt w:val="bullet"/>
      <w:pStyle w:val="Quic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3" w15:restartNumberingAfterBreak="0">
    <w:nsid w:val="782B5560"/>
    <w:multiLevelType w:val="multilevel"/>
    <w:tmpl w:val="F3FE21DC"/>
    <w:lvl w:ilvl="0">
      <w:start w:val="2014"/>
      <w:numFmt w:val="decimal"/>
      <w:lvlText w:val="%1"/>
      <w:lvlJc w:val="left"/>
      <w:pPr>
        <w:ind w:left="800" w:hanging="800"/>
      </w:pPr>
      <w:rPr>
        <w:rFonts w:eastAsia="Calibri" w:hint="default"/>
        <w:b w:val="0"/>
      </w:rPr>
    </w:lvl>
    <w:lvl w:ilvl="1">
      <w:start w:val="17"/>
      <w:numFmt w:val="decimal"/>
      <w:lvlText w:val="%1-%2"/>
      <w:lvlJc w:val="left"/>
      <w:pPr>
        <w:ind w:left="800" w:hanging="800"/>
      </w:pPr>
      <w:rPr>
        <w:rFonts w:eastAsia="Calibri" w:hint="default"/>
        <w:b w:val="0"/>
      </w:rPr>
    </w:lvl>
    <w:lvl w:ilvl="2">
      <w:start w:val="1"/>
      <w:numFmt w:val="decimal"/>
      <w:lvlText w:val="%1-%2.%3"/>
      <w:lvlJc w:val="left"/>
      <w:pPr>
        <w:ind w:left="800" w:hanging="800"/>
      </w:pPr>
      <w:rPr>
        <w:rFonts w:eastAsia="Calibri" w:hint="default"/>
        <w:b w:val="0"/>
      </w:rPr>
    </w:lvl>
    <w:lvl w:ilvl="3">
      <w:start w:val="1"/>
      <w:numFmt w:val="decimal"/>
      <w:lvlText w:val="%1-%2.%3.%4"/>
      <w:lvlJc w:val="left"/>
      <w:pPr>
        <w:ind w:left="800" w:hanging="800"/>
      </w:pPr>
      <w:rPr>
        <w:rFonts w:eastAsia="Calibri"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num w:numId="1" w16cid:durableId="1520505692">
    <w:abstractNumId w:val="10"/>
  </w:num>
  <w:num w:numId="2" w16cid:durableId="1871675038">
    <w:abstractNumId w:val="8"/>
  </w:num>
  <w:num w:numId="3" w16cid:durableId="1488013667">
    <w:abstractNumId w:val="7"/>
  </w:num>
  <w:num w:numId="4" w16cid:durableId="755908569">
    <w:abstractNumId w:val="6"/>
  </w:num>
  <w:num w:numId="5" w16cid:durableId="970089951">
    <w:abstractNumId w:val="5"/>
  </w:num>
  <w:num w:numId="6" w16cid:durableId="1574394184">
    <w:abstractNumId w:val="9"/>
  </w:num>
  <w:num w:numId="7" w16cid:durableId="1479953596">
    <w:abstractNumId w:val="4"/>
  </w:num>
  <w:num w:numId="8" w16cid:durableId="378478610">
    <w:abstractNumId w:val="3"/>
  </w:num>
  <w:num w:numId="9" w16cid:durableId="374086915">
    <w:abstractNumId w:val="2"/>
  </w:num>
  <w:num w:numId="10" w16cid:durableId="829101771">
    <w:abstractNumId w:val="1"/>
  </w:num>
  <w:num w:numId="11" w16cid:durableId="732630412">
    <w:abstractNumId w:val="1"/>
  </w:num>
  <w:num w:numId="12" w16cid:durableId="1675913257">
    <w:abstractNumId w:val="26"/>
  </w:num>
  <w:num w:numId="13" w16cid:durableId="1239945006">
    <w:abstractNumId w:val="17"/>
  </w:num>
  <w:num w:numId="14" w16cid:durableId="198276918">
    <w:abstractNumId w:val="32"/>
  </w:num>
  <w:num w:numId="15" w16cid:durableId="624509670">
    <w:abstractNumId w:val="30"/>
  </w:num>
  <w:num w:numId="16" w16cid:durableId="949632043">
    <w:abstractNumId w:val="0"/>
  </w:num>
  <w:num w:numId="17" w16cid:durableId="279924379">
    <w:abstractNumId w:val="31"/>
  </w:num>
  <w:num w:numId="18" w16cid:durableId="1726298628">
    <w:abstractNumId w:val="19"/>
  </w:num>
  <w:num w:numId="19" w16cid:durableId="1487892706">
    <w:abstractNumId w:val="28"/>
  </w:num>
  <w:num w:numId="20" w16cid:durableId="1703482706">
    <w:abstractNumId w:val="29"/>
  </w:num>
  <w:num w:numId="21" w16cid:durableId="327055194">
    <w:abstractNumId w:val="11"/>
  </w:num>
  <w:num w:numId="22" w16cid:durableId="2035378250">
    <w:abstractNumId w:val="27"/>
  </w:num>
  <w:num w:numId="23" w16cid:durableId="178280340">
    <w:abstractNumId w:val="12"/>
  </w:num>
  <w:num w:numId="24" w16cid:durableId="1003750466">
    <w:abstractNumId w:val="15"/>
  </w:num>
  <w:num w:numId="25" w16cid:durableId="610624728">
    <w:abstractNumId w:val="20"/>
  </w:num>
  <w:num w:numId="26" w16cid:durableId="93520207">
    <w:abstractNumId w:val="18"/>
  </w:num>
  <w:num w:numId="27" w16cid:durableId="923999590">
    <w:abstractNumId w:val="33"/>
  </w:num>
  <w:num w:numId="28" w16cid:durableId="1192187800">
    <w:abstractNumId w:val="22"/>
  </w:num>
  <w:num w:numId="29" w16cid:durableId="416481701">
    <w:abstractNumId w:val="21"/>
  </w:num>
  <w:num w:numId="30" w16cid:durableId="725030560">
    <w:abstractNumId w:val="23"/>
  </w:num>
  <w:num w:numId="31" w16cid:durableId="487480569">
    <w:abstractNumId w:val="13"/>
  </w:num>
  <w:num w:numId="32" w16cid:durableId="642540048">
    <w:abstractNumId w:val="16"/>
  </w:num>
  <w:num w:numId="33" w16cid:durableId="735199813">
    <w:abstractNumId w:val="24"/>
  </w:num>
  <w:num w:numId="34" w16cid:durableId="1790316584">
    <w:abstractNumId w:val="25"/>
  </w:num>
  <w:num w:numId="35" w16cid:durableId="8898055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46D97"/>
    <w:rsid w:val="000544AB"/>
    <w:rsid w:val="0006023F"/>
    <w:rsid w:val="00071FD6"/>
    <w:rsid w:val="000877BC"/>
    <w:rsid w:val="00087E80"/>
    <w:rsid w:val="000E2501"/>
    <w:rsid w:val="000F2CA6"/>
    <w:rsid w:val="000F34A6"/>
    <w:rsid w:val="00102E03"/>
    <w:rsid w:val="001207EA"/>
    <w:rsid w:val="0012130F"/>
    <w:rsid w:val="001376F3"/>
    <w:rsid w:val="00171F79"/>
    <w:rsid w:val="0017750F"/>
    <w:rsid w:val="001C408E"/>
    <w:rsid w:val="001C43B3"/>
    <w:rsid w:val="001D614A"/>
    <w:rsid w:val="001E2E6C"/>
    <w:rsid w:val="001F651B"/>
    <w:rsid w:val="001F7221"/>
    <w:rsid w:val="00200EC2"/>
    <w:rsid w:val="00243B99"/>
    <w:rsid w:val="0024498C"/>
    <w:rsid w:val="00252177"/>
    <w:rsid w:val="00254770"/>
    <w:rsid w:val="00254863"/>
    <w:rsid w:val="00287652"/>
    <w:rsid w:val="00293D94"/>
    <w:rsid w:val="002A102C"/>
    <w:rsid w:val="002A1EAC"/>
    <w:rsid w:val="002B756D"/>
    <w:rsid w:val="002C61B8"/>
    <w:rsid w:val="002E4188"/>
    <w:rsid w:val="002E7C35"/>
    <w:rsid w:val="00320857"/>
    <w:rsid w:val="00352D83"/>
    <w:rsid w:val="003639A9"/>
    <w:rsid w:val="003863F0"/>
    <w:rsid w:val="003B0717"/>
    <w:rsid w:val="003C33A4"/>
    <w:rsid w:val="003F6A45"/>
    <w:rsid w:val="00406D48"/>
    <w:rsid w:val="00416B77"/>
    <w:rsid w:val="00425157"/>
    <w:rsid w:val="00442476"/>
    <w:rsid w:val="00456FF9"/>
    <w:rsid w:val="00487E41"/>
    <w:rsid w:val="004902DD"/>
    <w:rsid w:val="004A1D38"/>
    <w:rsid w:val="004A7C06"/>
    <w:rsid w:val="004B13CB"/>
    <w:rsid w:val="004E6F6F"/>
    <w:rsid w:val="0050371E"/>
    <w:rsid w:val="00562E32"/>
    <w:rsid w:val="0057565C"/>
    <w:rsid w:val="00585EC0"/>
    <w:rsid w:val="00591135"/>
    <w:rsid w:val="005A559A"/>
    <w:rsid w:val="005B0470"/>
    <w:rsid w:val="005C6A15"/>
    <w:rsid w:val="005D24EC"/>
    <w:rsid w:val="005D7220"/>
    <w:rsid w:val="005E396E"/>
    <w:rsid w:val="006041D2"/>
    <w:rsid w:val="00647EEB"/>
    <w:rsid w:val="006555D6"/>
    <w:rsid w:val="006928B2"/>
    <w:rsid w:val="006E18ED"/>
    <w:rsid w:val="006E2E1E"/>
    <w:rsid w:val="006E300E"/>
    <w:rsid w:val="00703307"/>
    <w:rsid w:val="007132BE"/>
    <w:rsid w:val="00762279"/>
    <w:rsid w:val="007655ED"/>
    <w:rsid w:val="00773910"/>
    <w:rsid w:val="00795B56"/>
    <w:rsid w:val="00795EEB"/>
    <w:rsid w:val="007A2E7B"/>
    <w:rsid w:val="007A374F"/>
    <w:rsid w:val="007C1C1B"/>
    <w:rsid w:val="007D0B58"/>
    <w:rsid w:val="007E40FF"/>
    <w:rsid w:val="007E6042"/>
    <w:rsid w:val="00804B70"/>
    <w:rsid w:val="00806988"/>
    <w:rsid w:val="00821221"/>
    <w:rsid w:val="008212AE"/>
    <w:rsid w:val="0083192F"/>
    <w:rsid w:val="00847F37"/>
    <w:rsid w:val="00851421"/>
    <w:rsid w:val="008618C3"/>
    <w:rsid w:val="00866F29"/>
    <w:rsid w:val="00867902"/>
    <w:rsid w:val="008713B7"/>
    <w:rsid w:val="00877B2D"/>
    <w:rsid w:val="008B3285"/>
    <w:rsid w:val="008B36B6"/>
    <w:rsid w:val="008C2CFB"/>
    <w:rsid w:val="008F237A"/>
    <w:rsid w:val="009246EF"/>
    <w:rsid w:val="00931C3B"/>
    <w:rsid w:val="00934E42"/>
    <w:rsid w:val="00946049"/>
    <w:rsid w:val="0095747B"/>
    <w:rsid w:val="00966A8E"/>
    <w:rsid w:val="00982EA8"/>
    <w:rsid w:val="009970C6"/>
    <w:rsid w:val="009D239F"/>
    <w:rsid w:val="009E7C20"/>
    <w:rsid w:val="00A20E00"/>
    <w:rsid w:val="00A2781E"/>
    <w:rsid w:val="00A425BC"/>
    <w:rsid w:val="00A624E5"/>
    <w:rsid w:val="00A73FD5"/>
    <w:rsid w:val="00A74A40"/>
    <w:rsid w:val="00AC23FB"/>
    <w:rsid w:val="00AC39E6"/>
    <w:rsid w:val="00AC765F"/>
    <w:rsid w:val="00AD3C0B"/>
    <w:rsid w:val="00B11AD7"/>
    <w:rsid w:val="00B470CB"/>
    <w:rsid w:val="00B7250C"/>
    <w:rsid w:val="00BF6E1A"/>
    <w:rsid w:val="00C12D1C"/>
    <w:rsid w:val="00C228E2"/>
    <w:rsid w:val="00C374DC"/>
    <w:rsid w:val="00C40E6B"/>
    <w:rsid w:val="00C53698"/>
    <w:rsid w:val="00C6788D"/>
    <w:rsid w:val="00C9697C"/>
    <w:rsid w:val="00CA612B"/>
    <w:rsid w:val="00CA6417"/>
    <w:rsid w:val="00CB136C"/>
    <w:rsid w:val="00CB5EFA"/>
    <w:rsid w:val="00CC18BA"/>
    <w:rsid w:val="00D1188C"/>
    <w:rsid w:val="00D151D9"/>
    <w:rsid w:val="00D27509"/>
    <w:rsid w:val="00D61C13"/>
    <w:rsid w:val="00D6442D"/>
    <w:rsid w:val="00D96283"/>
    <w:rsid w:val="00DA5A09"/>
    <w:rsid w:val="00DC27B2"/>
    <w:rsid w:val="00DC2937"/>
    <w:rsid w:val="00DC6CD0"/>
    <w:rsid w:val="00DD5F31"/>
    <w:rsid w:val="00DE391B"/>
    <w:rsid w:val="00E05CE7"/>
    <w:rsid w:val="00E4605A"/>
    <w:rsid w:val="00E46415"/>
    <w:rsid w:val="00E86139"/>
    <w:rsid w:val="00E86974"/>
    <w:rsid w:val="00EF069F"/>
    <w:rsid w:val="00EF6F56"/>
    <w:rsid w:val="00F10D5C"/>
    <w:rsid w:val="00F67628"/>
    <w:rsid w:val="00F765C2"/>
    <w:rsid w:val="00F91565"/>
    <w:rsid w:val="00FC59F9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5702F"/>
  <w14:defaultImageDpi w14:val="300"/>
  <w15:chartTrackingRefBased/>
  <w15:docId w15:val="{46D656D2-E10E-E244-AA3D-9A28E775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/>
    </w:rPr>
  </w:style>
  <w:style w:type="paragraph" w:styleId="Titre1">
    <w:name w:val="heading 1"/>
    <w:basedOn w:val="Normal"/>
    <w:next w:val="Normal"/>
    <w:qFormat/>
    <w:pPr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epuces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epuces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epuces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epuces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enumros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enumros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enumros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enumros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enumros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customStyle="1" w:styleId="QuickA">
    <w:name w:val="Quick A."/>
    <w:basedOn w:val="Normal"/>
    <w:pPr>
      <w:widowControl w:val="0"/>
      <w:numPr>
        <w:numId w:val="14"/>
      </w:numPr>
      <w:tabs>
        <w:tab w:val="clear" w:pos="360"/>
      </w:tabs>
      <w:ind w:left="720" w:hanging="720"/>
    </w:pPr>
  </w:style>
  <w:style w:type="paragraph" w:customStyle="1" w:styleId="ReminderList1">
    <w:name w:val="Reminder List 1"/>
    <w:basedOn w:val="Normal"/>
    <w:pPr>
      <w:numPr>
        <w:numId w:val="12"/>
      </w:numPr>
      <w:tabs>
        <w:tab w:val="left" w:pos="360"/>
      </w:tabs>
      <w:spacing w:after="120" w:line="260" w:lineRule="atLeast"/>
      <w:ind w:left="360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tabs>
        <w:tab w:val="left" w:pos="720"/>
        <w:tab w:val="num" w:pos="1800"/>
      </w:tabs>
      <w:spacing w:after="60" w:line="260" w:lineRule="atLeast"/>
      <w:ind w:left="749" w:hanging="360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13"/>
      </w:numPr>
      <w:tabs>
        <w:tab w:val="left" w:pos="1080"/>
      </w:tabs>
      <w:spacing w:after="60"/>
      <w:ind w:left="1080" w:hanging="360"/>
    </w:pPr>
    <w:rPr>
      <w:rFonts w:ascii="Helvetica" w:hAnsi="Helvetica" w:cs="Helvetica"/>
      <w:sz w:val="22"/>
      <w:szCs w:val="22"/>
    </w:rPr>
  </w:style>
  <w:style w:type="paragraph" w:styleId="Retraitcorpsdetexte">
    <w:name w:val="Body Text Indent"/>
    <w:basedOn w:val="Normal"/>
    <w:pPr>
      <w:ind w:left="720"/>
      <w:jc w:val="both"/>
    </w:pPr>
    <w:rPr>
      <w:rFonts w:ascii="Arial" w:hAnsi="Arial" w:cs="Arial"/>
      <w:color w:val="FF0000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" w:eastAsia="Arial Unicode MS" w:hAnsi="Arial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0pt">
    <w:name w:val="Data Field 10pt"/>
    <w:basedOn w:val="Normal"/>
    <w:rPr>
      <w:rFonts w:ascii="Arial" w:hAnsi="Arial" w:cs="Arial"/>
      <w:sz w:val="20"/>
      <w:szCs w:val="20"/>
    </w:r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ascii="Arial" w:hAnsi="Arial" w:cs="Arial"/>
      <w:sz w:val="22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rPr>
      <w:rFonts w:ascii="Arial" w:hAnsi="Arial"/>
      <w:sz w:val="20"/>
      <w:u w:val="single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FormFooterBorder">
    <w:name w:val="FormFooter/Border"/>
    <w:basedOn w:val="Pieddepage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customStyle="1" w:styleId="HeadingNote">
    <w:name w:val="Heading Note"/>
    <w:basedOn w:val="Normal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Pr>
      <w:rFonts w:ascii="Arial" w:hAnsi="Arial" w:cs="Arial"/>
      <w:sz w:val="16"/>
      <w:szCs w:val="15"/>
    </w:rPr>
  </w:style>
  <w:style w:type="paragraph" w:customStyle="1" w:styleId="Arial10BoldText">
    <w:name w:val="Arial10BoldText"/>
    <w:basedOn w:val="Normal"/>
    <w:pPr>
      <w:spacing w:before="20" w:after="20"/>
    </w:pPr>
    <w:rPr>
      <w:rFonts w:ascii="Arial" w:hAnsi="Arial" w:cs="Arial"/>
      <w:b/>
      <w:bCs/>
      <w:sz w:val="20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pt">
    <w:name w:val="Form Field Caption 7pt"/>
    <w:basedOn w:val="Normal"/>
    <w:pPr>
      <w:tabs>
        <w:tab w:val="left" w:pos="252"/>
      </w:tabs>
    </w:pPr>
    <w:rPr>
      <w:rFonts w:ascii="Arial" w:hAnsi="Arial" w:cs="Arial"/>
      <w:sz w:val="14"/>
      <w:szCs w:val="14"/>
    </w:rPr>
  </w:style>
  <w:style w:type="paragraph" w:customStyle="1" w:styleId="PIHeader">
    <w:name w:val="PI Header"/>
    <w:basedOn w:val="Normal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character" w:customStyle="1" w:styleId="DataField11pt-SingleChar">
    <w:name w:val="Data Field 11pt-Single Char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paragraph" w:customStyle="1" w:styleId="HeadNoteNotItalics">
    <w:name w:val="HeadNoteNotItalics"/>
    <w:basedOn w:val="HeadingNote"/>
    <w:rPr>
      <w:i w:val="0"/>
    </w:rPr>
  </w:style>
  <w:style w:type="character" w:styleId="Hyperlien">
    <w:name w:val="Hyperlink"/>
    <w:rsid w:val="00456FF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456FF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228E2"/>
    <w:pPr>
      <w:ind w:left="720"/>
      <w:contextualSpacing/>
    </w:pPr>
  </w:style>
  <w:style w:type="character" w:styleId="Lienvisit">
    <w:name w:val="FollowedHyperlink"/>
    <w:basedOn w:val="Policepardfaut"/>
    <w:rsid w:val="000F2CA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D27509"/>
    <w:rPr>
      <w:i/>
      <w:iCs/>
    </w:rPr>
  </w:style>
  <w:style w:type="table" w:styleId="Grilledutableau">
    <w:name w:val="Table Grid"/>
    <w:basedOn w:val="TableauNormal"/>
    <w:rsid w:val="00D2750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27509"/>
    <w:rPr>
      <w:b/>
      <w:bCs/>
    </w:rPr>
  </w:style>
  <w:style w:type="character" w:customStyle="1" w:styleId="apple-converted-space">
    <w:name w:val="apple-converted-space"/>
    <w:basedOn w:val="Policepardfaut"/>
    <w:rsid w:val="002A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6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PHS 398 (Rev. 11/07), Biographical Sketch Format Page</vt:lpstr>
      <vt:lpstr>PHS 398 (Rev. 11/07), Biographical Sketch Format Page</vt:lpstr>
    </vt:vector>
  </TitlesOfParts>
  <Company>DHHS/PHS/NIH</Company>
  <LinksUpToDate>false</LinksUpToDate>
  <CharactersWithSpaces>2785</CharactersWithSpaces>
  <SharedDoc>false</SharedDoc>
  <HLinks>
    <vt:vector size="90" baseType="variant">
      <vt:variant>
        <vt:i4>524294</vt:i4>
      </vt:variant>
      <vt:variant>
        <vt:i4>42</vt:i4>
      </vt:variant>
      <vt:variant>
        <vt:i4>0</vt:i4>
      </vt:variant>
      <vt:variant>
        <vt:i4>5</vt:i4>
      </vt:variant>
      <vt:variant>
        <vt:lpwstr>https://pubmed.ncbi.nlm.nih.gov/36278784/</vt:lpwstr>
      </vt:variant>
      <vt:variant>
        <vt:lpwstr/>
      </vt:variant>
      <vt:variant>
        <vt:i4>655369</vt:i4>
      </vt:variant>
      <vt:variant>
        <vt:i4>39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917510</vt:i4>
      </vt:variant>
      <vt:variant>
        <vt:i4>36</vt:i4>
      </vt:variant>
      <vt:variant>
        <vt:i4>0</vt:i4>
      </vt:variant>
      <vt:variant>
        <vt:i4>5</vt:i4>
      </vt:variant>
      <vt:variant>
        <vt:lpwstr>https://pubmed.ncbi.nlm.nih.gov/33127441/</vt:lpwstr>
      </vt:variant>
      <vt:variant>
        <vt:lpwstr/>
      </vt:variant>
      <vt:variant>
        <vt:i4>720902</vt:i4>
      </vt:variant>
      <vt:variant>
        <vt:i4>33</vt:i4>
      </vt:variant>
      <vt:variant>
        <vt:i4>0</vt:i4>
      </vt:variant>
      <vt:variant>
        <vt:i4>5</vt:i4>
      </vt:variant>
      <vt:variant>
        <vt:lpwstr>https://pubmed.ncbi.nlm.nih.gov/29581272/</vt:lpwstr>
      </vt:variant>
      <vt:variant>
        <vt:lpwstr/>
      </vt:variant>
      <vt:variant>
        <vt:i4>327694</vt:i4>
      </vt:variant>
      <vt:variant>
        <vt:i4>30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27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https://pubmed.ncbi.nlm.nih.gov/24808139/</vt:lpwstr>
      </vt:variant>
      <vt:variant>
        <vt:lpwstr/>
      </vt:variant>
      <vt:variant>
        <vt:i4>589826</vt:i4>
      </vt:variant>
      <vt:variant>
        <vt:i4>21</vt:i4>
      </vt:variant>
      <vt:variant>
        <vt:i4>0</vt:i4>
      </vt:variant>
      <vt:variant>
        <vt:i4>5</vt:i4>
      </vt:variant>
      <vt:variant>
        <vt:lpwstr>https://pubmed.ncbi.nlm.nih.gov/24233561/</vt:lpwstr>
      </vt:variant>
      <vt:variant>
        <vt:lpwstr/>
      </vt:variant>
      <vt:variant>
        <vt:i4>196611</vt:i4>
      </vt:variant>
      <vt:variant>
        <vt:i4>18</vt:i4>
      </vt:variant>
      <vt:variant>
        <vt:i4>0</vt:i4>
      </vt:variant>
      <vt:variant>
        <vt:i4>5</vt:i4>
      </vt:variant>
      <vt:variant>
        <vt:lpwstr>https://pubmed.ncbi.nlm.nih.gov/23385200/</vt:lpwstr>
      </vt:variant>
      <vt:variant>
        <vt:lpwstr/>
      </vt:variant>
      <vt:variant>
        <vt:i4>917506</vt:i4>
      </vt:variant>
      <vt:variant>
        <vt:i4>15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  <vt:variant>
        <vt:i4>655369</vt:i4>
      </vt:variant>
      <vt:variant>
        <vt:i4>12</vt:i4>
      </vt:variant>
      <vt:variant>
        <vt:i4>0</vt:i4>
      </vt:variant>
      <vt:variant>
        <vt:i4>5</vt:i4>
      </vt:variant>
      <vt:variant>
        <vt:lpwstr>https://pubmed.ncbi.nlm.nih.gov/33875602/</vt:lpwstr>
      </vt:variant>
      <vt:variant>
        <vt:lpwstr/>
      </vt:variant>
      <vt:variant>
        <vt:i4>917515</vt:i4>
      </vt:variant>
      <vt:variant>
        <vt:i4>9</vt:i4>
      </vt:variant>
      <vt:variant>
        <vt:i4>0</vt:i4>
      </vt:variant>
      <vt:variant>
        <vt:i4>5</vt:i4>
      </vt:variant>
      <vt:variant>
        <vt:lpwstr>https://pubmed.ncbi.nlm.nih.gov/34483880/</vt:lpwstr>
      </vt:variant>
      <vt:variant>
        <vt:lpwstr/>
      </vt:variant>
      <vt:variant>
        <vt:i4>327694</vt:i4>
      </vt:variant>
      <vt:variant>
        <vt:i4>6</vt:i4>
      </vt:variant>
      <vt:variant>
        <vt:i4>0</vt:i4>
      </vt:variant>
      <vt:variant>
        <vt:i4>5</vt:i4>
      </vt:variant>
      <vt:variant>
        <vt:lpwstr>https://pubmed.ncbi.nlm.nih.gov/28319610/</vt:lpwstr>
      </vt:variant>
      <vt:variant>
        <vt:lpwstr/>
      </vt:variant>
      <vt:variant>
        <vt:i4>655361</vt:i4>
      </vt:variant>
      <vt:variant>
        <vt:i4>3</vt:i4>
      </vt:variant>
      <vt:variant>
        <vt:i4>0</vt:i4>
      </vt:variant>
      <vt:variant>
        <vt:i4>5</vt:i4>
      </vt:variant>
      <vt:variant>
        <vt:lpwstr>https://pubmed.ncbi.nlm.nih.gov/25646445/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https://pubmed.ncbi.nlm.nih.gov/22095728/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11/07), Biographical Sketch Format Page</dc:title>
  <dc:subject>DHHS, Public Health Service Grant Application</dc:subject>
  <dc:creator>Office of Extramural Programs</dc:creator>
  <cp:keywords>PHS Grant Application, PHS 398 (Rev. 11/07), Biographical Sketch Format Page</cp:keywords>
  <dc:description/>
  <cp:lastModifiedBy>Fournier Antoine</cp:lastModifiedBy>
  <cp:revision>21</cp:revision>
  <cp:lastPrinted>2004-10-05T11:04:00Z</cp:lastPrinted>
  <dcterms:created xsi:type="dcterms:W3CDTF">2024-09-04T11:52:00Z</dcterms:created>
  <dcterms:modified xsi:type="dcterms:W3CDTF">2024-09-13T11:24:00Z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-1499457407</vt:i4>
  </property>
  <property fmtid="{D5CDD505-2E9C-101B-9397-08002B2CF9AE}" pid="3" name="_EmailSubject">
    <vt:lpwstr>PHS 398 Instructions and Forms</vt:lpwstr>
  </property>
  <property fmtid="{D5CDD505-2E9C-101B-9397-08002B2CF9AE}" pid="4" name="_AuthorEmail">
    <vt:lpwstr>GoodnigJ@OD.NIH.GOV</vt:lpwstr>
  </property>
  <property fmtid="{D5CDD505-2E9C-101B-9397-08002B2CF9AE}" pid="5" name="_AuthorEmailDisplayName">
    <vt:lpwstr>Goodnight, JoAnne (NIH/OD)</vt:lpwstr>
  </property>
  <property fmtid="{D5CDD505-2E9C-101B-9397-08002B2CF9AE}" pid="6" name="_PreviousAdHocReviewCycleID">
    <vt:i4>1685714792</vt:i4>
  </property>
  <property fmtid="{D5CDD505-2E9C-101B-9397-08002B2CF9AE}" pid="7" name="_ReviewingToolsShownOnce">
    <vt:lpwstr/>
  </property>
</Properties>
</file>