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2A102C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2A102C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2A102C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NAME</w:t>
            </w:r>
          </w:p>
          <w:p w14:paraId="4B7613B6" w14:textId="298DB048" w:rsidR="00E86974" w:rsidRPr="002A102C" w:rsidRDefault="00582C99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>Dubost, Emmanuelle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2A102C" w:rsidRDefault="00E86974">
            <w:pPr>
              <w:pStyle w:val="FormFieldCaption"/>
              <w:rPr>
                <w:sz w:val="22"/>
                <w:szCs w:val="22"/>
              </w:rPr>
            </w:pPr>
            <w:r w:rsidRPr="002A102C">
              <w:rPr>
                <w:sz w:val="22"/>
                <w:szCs w:val="22"/>
              </w:rPr>
              <w:t>POSITION TITLE</w:t>
            </w:r>
          </w:p>
          <w:p w14:paraId="07EC61BB" w14:textId="02D028ED" w:rsidR="00E86974" w:rsidRPr="002A102C" w:rsidRDefault="00582C99">
            <w:pPr>
              <w:pStyle w:val="DataField11pt-Single"/>
              <w:rPr>
                <w:szCs w:val="22"/>
              </w:rPr>
            </w:pPr>
            <w:r>
              <w:rPr>
                <w:szCs w:val="22"/>
              </w:rPr>
              <w:t>Assistant professor in organic chemistry</w:t>
            </w:r>
          </w:p>
        </w:tc>
      </w:tr>
    </w:tbl>
    <w:p w14:paraId="2F8F393C" w14:textId="4D89768B" w:rsidR="00D27509" w:rsidRPr="002A102C" w:rsidRDefault="00D27509" w:rsidP="00D27509">
      <w:pPr>
        <w:pBdr>
          <w:between w:val="single" w:sz="4" w:space="1" w:color="auto"/>
        </w:pBdr>
        <w:tabs>
          <w:tab w:val="left" w:pos="270"/>
        </w:tabs>
        <w:spacing w:after="160"/>
        <w:ind w:firstLine="14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8B36B6" w14:paraId="29161B73" w14:textId="77777777" w:rsidTr="00D27509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DEGREE</w:t>
            </w:r>
          </w:p>
          <w:p w14:paraId="46532A9B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8B36B6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FIELD OF STUDY</w:t>
            </w:r>
          </w:p>
        </w:tc>
      </w:tr>
      <w:tr w:rsidR="00D27509" w:rsidRPr="008B36B6" w14:paraId="236A0F4B" w14:textId="77777777" w:rsidTr="00D27509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5027D9FA" w14:textId="038D6C9A" w:rsidR="00582C99" w:rsidRPr="008B36B6" w:rsidRDefault="00582C99" w:rsidP="00FE6ED7">
            <w:pPr>
              <w:pStyle w:val="DataField11pt-Single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University of Caen </w:t>
            </w:r>
            <w:r w:rsidR="00D27509" w:rsidRPr="008B36B6">
              <w:rPr>
                <w:sz w:val="20"/>
              </w:rPr>
              <w:t>(</w:t>
            </w:r>
            <w:r>
              <w:rPr>
                <w:sz w:val="20"/>
              </w:rPr>
              <w:t>Caen</w:t>
            </w:r>
            <w:r w:rsidR="00D27509" w:rsidRPr="008B36B6">
              <w:rPr>
                <w:sz w:val="20"/>
              </w:rPr>
              <w:t>, France)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E22570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PhD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C2F675" w14:textId="75CE4636" w:rsidR="00D27509" w:rsidRPr="008B36B6" w:rsidRDefault="00582C99" w:rsidP="00FE6ED7">
            <w:pPr>
              <w:pStyle w:val="DataField11pt-Single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1375A5E5" w14:textId="4D01B17E" w:rsidR="00D27509" w:rsidRPr="008B36B6" w:rsidRDefault="00582C99" w:rsidP="00FE6ED7">
            <w:pPr>
              <w:pStyle w:val="DataField11pt-Single"/>
              <w:rPr>
                <w:sz w:val="20"/>
              </w:rPr>
            </w:pPr>
            <w:r>
              <w:rPr>
                <w:sz w:val="20"/>
              </w:rPr>
              <w:t>Chemistry and molecular modelling</w:t>
            </w:r>
          </w:p>
        </w:tc>
      </w:tr>
      <w:tr w:rsidR="00582C99" w:rsidRPr="008B36B6" w14:paraId="3E49A6EB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1E088A21" w14:textId="4FB3D309" w:rsidR="00582C99" w:rsidRDefault="00582C99" w:rsidP="00FE6ED7">
            <w:pPr>
              <w:pStyle w:val="DataField11pt-Single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Service de </w:t>
            </w:r>
            <w:proofErr w:type="spellStart"/>
            <w:r>
              <w:rPr>
                <w:sz w:val="20"/>
              </w:rPr>
              <w:t>Chimie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Bioorganique</w:t>
            </w:r>
            <w:proofErr w:type="spellEnd"/>
            <w:r>
              <w:rPr>
                <w:sz w:val="20"/>
              </w:rPr>
              <w:t xml:space="preserve"> et de </w:t>
            </w:r>
            <w:proofErr w:type="spellStart"/>
            <w:r>
              <w:rPr>
                <w:sz w:val="20"/>
              </w:rPr>
              <w:t>Marquage</w:t>
            </w:r>
            <w:proofErr w:type="spellEnd"/>
            <w:r>
              <w:rPr>
                <w:sz w:val="20"/>
              </w:rPr>
              <w:t xml:space="preserve"> (CEA </w:t>
            </w:r>
            <w:proofErr w:type="spellStart"/>
            <w:r>
              <w:rPr>
                <w:sz w:val="20"/>
              </w:rPr>
              <w:t>Saclay</w:t>
            </w:r>
            <w:proofErr w:type="spellEnd"/>
            <w:r>
              <w:rPr>
                <w:sz w:val="20"/>
              </w:rPr>
              <w:t>, France)</w:t>
            </w:r>
          </w:p>
        </w:tc>
        <w:tc>
          <w:tcPr>
            <w:tcW w:w="1530" w:type="dxa"/>
            <w:vAlign w:val="center"/>
          </w:tcPr>
          <w:p w14:paraId="48A7DE51" w14:textId="79E47B45" w:rsidR="00582C99" w:rsidRPr="008B36B6" w:rsidRDefault="00582C9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Postdoctoral</w:t>
            </w:r>
          </w:p>
        </w:tc>
        <w:tc>
          <w:tcPr>
            <w:tcW w:w="1584" w:type="dxa"/>
            <w:vAlign w:val="center"/>
          </w:tcPr>
          <w:p w14:paraId="6B08AA75" w14:textId="2E97E9F3" w:rsidR="00582C99" w:rsidRPr="008B36B6" w:rsidRDefault="00582C9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592" w:type="dxa"/>
            <w:vAlign w:val="center"/>
          </w:tcPr>
          <w:p w14:paraId="46802CF6" w14:textId="491D2F34" w:rsidR="00582C99" w:rsidRPr="008B36B6" w:rsidRDefault="00582C99" w:rsidP="00FE6ED7">
            <w:pPr>
              <w:pStyle w:val="DataField11pt-Single"/>
              <w:rPr>
                <w:sz w:val="20"/>
              </w:rPr>
            </w:pPr>
            <w:r>
              <w:rPr>
                <w:sz w:val="20"/>
              </w:rPr>
              <w:t>Organic and supramolecular chemistry</w:t>
            </w:r>
          </w:p>
        </w:tc>
      </w:tr>
      <w:tr w:rsidR="00D27509" w:rsidRPr="008B36B6" w14:paraId="14B55A52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36D98690" w14:textId="0363B1DC" w:rsidR="00D27509" w:rsidRPr="008B36B6" w:rsidRDefault="00582C99" w:rsidP="00FE6ED7">
            <w:pPr>
              <w:pStyle w:val="DataField11pt-Single"/>
              <w:jc w:val="both"/>
              <w:rPr>
                <w:sz w:val="20"/>
              </w:rPr>
            </w:pPr>
            <w:r>
              <w:rPr>
                <w:sz w:val="20"/>
              </w:rPr>
              <w:t>Chemistry Research Laboratory</w:t>
            </w:r>
            <w:r w:rsidR="00D27509" w:rsidRPr="008B36B6">
              <w:rPr>
                <w:sz w:val="20"/>
              </w:rPr>
              <w:t xml:space="preserve"> (</w:t>
            </w:r>
            <w:r>
              <w:rPr>
                <w:sz w:val="20"/>
              </w:rPr>
              <w:t>Oxford</w:t>
            </w:r>
            <w:r w:rsidR="00D27509" w:rsidRPr="008B36B6">
              <w:rPr>
                <w:sz w:val="20"/>
              </w:rPr>
              <w:t>, U.</w:t>
            </w:r>
            <w:r>
              <w:rPr>
                <w:sz w:val="20"/>
              </w:rPr>
              <w:t>K</w:t>
            </w:r>
            <w:r w:rsidR="00D27509" w:rsidRPr="008B36B6">
              <w:rPr>
                <w:sz w:val="20"/>
              </w:rPr>
              <w:t>.)</w:t>
            </w:r>
          </w:p>
        </w:tc>
        <w:tc>
          <w:tcPr>
            <w:tcW w:w="1530" w:type="dxa"/>
            <w:vAlign w:val="center"/>
          </w:tcPr>
          <w:p w14:paraId="520C25BE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Postdoctoral</w:t>
            </w:r>
          </w:p>
        </w:tc>
        <w:tc>
          <w:tcPr>
            <w:tcW w:w="1584" w:type="dxa"/>
            <w:vAlign w:val="center"/>
          </w:tcPr>
          <w:p w14:paraId="3710C549" w14:textId="783CAF1E" w:rsidR="00D27509" w:rsidRPr="008B36B6" w:rsidRDefault="00582C9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592" w:type="dxa"/>
            <w:vAlign w:val="center"/>
          </w:tcPr>
          <w:p w14:paraId="196D6481" w14:textId="5FACDFFC" w:rsidR="00D27509" w:rsidRPr="008B36B6" w:rsidRDefault="00582C99" w:rsidP="00FE6ED7">
            <w:pPr>
              <w:pStyle w:val="DataField11pt-Single"/>
              <w:rPr>
                <w:sz w:val="20"/>
              </w:rPr>
            </w:pPr>
            <w:proofErr w:type="spellStart"/>
            <w:r>
              <w:rPr>
                <w:sz w:val="20"/>
              </w:rPr>
              <w:t>Radiolabelling</w:t>
            </w:r>
            <w:proofErr w:type="spellEnd"/>
            <w:r>
              <w:rPr>
                <w:sz w:val="20"/>
              </w:rPr>
              <w:t>/ organic chemistry</w:t>
            </w:r>
          </w:p>
        </w:tc>
      </w:tr>
      <w:tr w:rsidR="00D27509" w:rsidRPr="008B36B6" w14:paraId="706E26F1" w14:textId="77777777" w:rsidTr="00D27509">
        <w:trPr>
          <w:cantSplit/>
          <w:trHeight w:val="395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0C56AAC6" w14:textId="77777777" w:rsidR="00D27509" w:rsidRPr="008B36B6" w:rsidRDefault="00D27509" w:rsidP="00FE6ED7">
            <w:pPr>
              <w:pStyle w:val="FormFieldCaption"/>
              <w:spacing w:before="20" w:after="20"/>
              <w:rPr>
                <w:sz w:val="20"/>
                <w:szCs w:val="20"/>
              </w:rPr>
            </w:pPr>
            <w:r w:rsidRPr="008B36B6">
              <w:rPr>
                <w:sz w:val="20"/>
                <w:szCs w:val="20"/>
              </w:rPr>
              <w:t>Caen Normandy University (France)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3E21D22" w14:textId="77777777" w:rsidR="00D27509" w:rsidRPr="008B36B6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8B36B6">
              <w:rPr>
                <w:sz w:val="20"/>
              </w:rPr>
              <w:t>HDR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44848BD3" w14:textId="293A9937" w:rsidR="00D27509" w:rsidRPr="008B36B6" w:rsidRDefault="00582C9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</w:tcPr>
          <w:p w14:paraId="2BF4FBD7" w14:textId="7D5B429E" w:rsidR="00D27509" w:rsidRPr="008B36B6" w:rsidRDefault="00582C99" w:rsidP="00FE6ED7">
            <w:pPr>
              <w:pStyle w:val="DataField11pt-Single"/>
              <w:rPr>
                <w:sz w:val="20"/>
              </w:rPr>
            </w:pPr>
            <w:r>
              <w:rPr>
                <w:sz w:val="20"/>
              </w:rPr>
              <w:t>Organic and medicinal chemistry</w:t>
            </w:r>
          </w:p>
        </w:tc>
      </w:tr>
    </w:tbl>
    <w:p w14:paraId="6E1B72A4" w14:textId="77777777" w:rsidR="00E86974" w:rsidRPr="002A102C" w:rsidRDefault="00E86974">
      <w:pPr>
        <w:pStyle w:val="DataField11pt-Single"/>
        <w:rPr>
          <w:szCs w:val="22"/>
        </w:rPr>
        <w:sectPr w:rsidR="00E86974" w:rsidRPr="002A102C" w:rsidSect="00E86974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Pr="002A102C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</w:rPr>
      </w:pPr>
      <w:r w:rsidRPr="002A102C">
        <w:rPr>
          <w:b/>
          <w:bCs/>
          <w:szCs w:val="22"/>
        </w:rPr>
        <w:t>Positions and Honors</w:t>
      </w:r>
    </w:p>
    <w:p w14:paraId="065F281B" w14:textId="2B3122D1" w:rsidR="00D27509" w:rsidRPr="002A102C" w:rsidRDefault="00D27509" w:rsidP="007C1C1B">
      <w:pPr>
        <w:pStyle w:val="DataField11pt-Single"/>
        <w:spacing w:after="60"/>
        <w:jc w:val="both"/>
        <w:rPr>
          <w:b/>
          <w:bCs/>
          <w:szCs w:val="22"/>
        </w:rPr>
      </w:pPr>
      <w:r w:rsidRPr="002A102C">
        <w:rPr>
          <w:rFonts w:eastAsia="Calibri"/>
          <w:b/>
          <w:bCs/>
          <w:szCs w:val="22"/>
        </w:rPr>
        <w:t>20</w:t>
      </w:r>
      <w:r w:rsidR="004E48C9">
        <w:rPr>
          <w:rFonts w:eastAsia="Calibri"/>
          <w:b/>
          <w:bCs/>
          <w:szCs w:val="22"/>
        </w:rPr>
        <w:t>21</w:t>
      </w:r>
      <w:r w:rsidRPr="002A102C">
        <w:rPr>
          <w:rFonts w:eastAsia="Calibri"/>
          <w:b/>
          <w:bCs/>
          <w:szCs w:val="22"/>
        </w:rPr>
        <w:t>-</w:t>
      </w:r>
      <w:r w:rsidR="002A102C">
        <w:rPr>
          <w:rFonts w:eastAsia="Calibri"/>
          <w:b/>
          <w:bCs/>
          <w:szCs w:val="22"/>
        </w:rPr>
        <w:t>x</w:t>
      </w:r>
      <w:r w:rsidRPr="002A102C">
        <w:rPr>
          <w:rFonts w:eastAsia="Calibri"/>
          <w:szCs w:val="22"/>
        </w:rPr>
        <w:t xml:space="preserve"> </w:t>
      </w:r>
      <w:r w:rsidRPr="002A102C">
        <w:rPr>
          <w:rFonts w:eastAsia="Calibri"/>
          <w:szCs w:val="22"/>
        </w:rPr>
        <w:tab/>
      </w:r>
      <w:r w:rsidR="004E48C9">
        <w:rPr>
          <w:rFonts w:eastAsia="Calibri"/>
          <w:szCs w:val="22"/>
        </w:rPr>
        <w:t xml:space="preserve">Assistant professor in organic chemistry applied in pharmacy and imaging, Centre </w:t>
      </w:r>
      <w:proofErr w:type="spellStart"/>
      <w:r w:rsidR="004E48C9">
        <w:rPr>
          <w:rFonts w:eastAsia="Calibri"/>
          <w:szCs w:val="22"/>
        </w:rPr>
        <w:t>d’Etudes</w:t>
      </w:r>
      <w:proofErr w:type="spellEnd"/>
      <w:r w:rsidR="004E48C9">
        <w:rPr>
          <w:rFonts w:eastAsia="Calibri"/>
          <w:szCs w:val="22"/>
        </w:rPr>
        <w:t xml:space="preserve"> et de Recherche sur le </w:t>
      </w:r>
      <w:proofErr w:type="spellStart"/>
      <w:r w:rsidR="004E48C9">
        <w:rPr>
          <w:rFonts w:eastAsia="Calibri"/>
          <w:szCs w:val="22"/>
        </w:rPr>
        <w:t>Médicament</w:t>
      </w:r>
      <w:proofErr w:type="spellEnd"/>
      <w:r w:rsidR="004E48C9">
        <w:rPr>
          <w:rFonts w:eastAsia="Calibri"/>
          <w:szCs w:val="22"/>
        </w:rPr>
        <w:t xml:space="preserve"> de Normandie (CERMN, </w:t>
      </w:r>
      <w:r w:rsidR="004E48C9" w:rsidRPr="004E48C9">
        <w:rPr>
          <w:rFonts w:eastAsia="Calibri"/>
          <w:szCs w:val="22"/>
        </w:rPr>
        <w:t>UNICAEN UR 4258</w:t>
      </w:r>
      <w:r w:rsidR="004E48C9">
        <w:rPr>
          <w:rFonts w:eastAsia="Calibri"/>
          <w:szCs w:val="22"/>
        </w:rPr>
        <w:t>)</w:t>
      </w:r>
    </w:p>
    <w:p w14:paraId="67E39CE7" w14:textId="77777777" w:rsidR="00E86974" w:rsidRPr="002A102C" w:rsidRDefault="00E86974" w:rsidP="008B36B6">
      <w:pPr>
        <w:pStyle w:val="DataField11pt-Single"/>
        <w:rPr>
          <w:b/>
          <w:bCs/>
          <w:szCs w:val="22"/>
        </w:rPr>
      </w:pPr>
    </w:p>
    <w:p w14:paraId="0901A37C" w14:textId="1382DF0A" w:rsidR="00087E80" w:rsidRPr="007C1C1B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</w:rPr>
      </w:pPr>
      <w:r w:rsidRPr="007C1C1B">
        <w:rPr>
          <w:b/>
          <w:bCs/>
          <w:szCs w:val="22"/>
        </w:rPr>
        <w:t>Most Important</w:t>
      </w:r>
      <w:r w:rsidR="00087E80" w:rsidRPr="007C1C1B">
        <w:rPr>
          <w:b/>
          <w:bCs/>
          <w:szCs w:val="22"/>
        </w:rPr>
        <w:t xml:space="preserve"> </w:t>
      </w:r>
      <w:r w:rsidR="008B3285" w:rsidRPr="007C1C1B">
        <w:rPr>
          <w:b/>
          <w:bCs/>
          <w:szCs w:val="22"/>
        </w:rPr>
        <w:t xml:space="preserve">Recent </w:t>
      </w:r>
      <w:r w:rsidR="00087E80" w:rsidRPr="007C1C1B">
        <w:rPr>
          <w:b/>
          <w:bCs/>
          <w:szCs w:val="22"/>
        </w:rPr>
        <w:t>Publications</w:t>
      </w:r>
      <w:r w:rsidR="007C1C1B" w:rsidRPr="007C1C1B">
        <w:rPr>
          <w:b/>
          <w:bCs/>
          <w:szCs w:val="22"/>
        </w:rPr>
        <w:t xml:space="preserve"> </w:t>
      </w:r>
      <w:r w:rsidR="007C1C1B">
        <w:rPr>
          <w:b/>
          <w:bCs/>
          <w:szCs w:val="22"/>
        </w:rPr>
        <w:t xml:space="preserve">- </w:t>
      </w:r>
      <w:r w:rsidR="007C1C1B" w:rsidRPr="002A102C">
        <w:rPr>
          <w:b/>
          <w:bCs/>
          <w:szCs w:val="22"/>
        </w:rPr>
        <w:t xml:space="preserve">Publications: H-index: </w:t>
      </w:r>
      <w:r w:rsidR="00582C99">
        <w:rPr>
          <w:b/>
          <w:bCs/>
          <w:szCs w:val="22"/>
        </w:rPr>
        <w:t>12</w:t>
      </w:r>
    </w:p>
    <w:p w14:paraId="091ECAE2" w14:textId="4AA1C930" w:rsidR="004E48C9" w:rsidRPr="004E48C9" w:rsidRDefault="004E48C9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Bloux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H.;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Khouya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A. A.;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Sopkova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-de Oliveira Santos, J.;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Fabis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F.;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Cailly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T. Gold(I)-Mediated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Radioiododecarboxylation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of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Arenes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. </w:t>
      </w:r>
      <w:r w:rsidRPr="004E48C9">
        <w:rPr>
          <w:rFonts w:ascii="Arial" w:hAnsi="Arial" w:cs="Arial"/>
          <w:i/>
          <w:iCs/>
          <w:sz w:val="22"/>
          <w:szCs w:val="20"/>
          <w:lang w:val="en-GB"/>
        </w:rPr>
        <w:t>Org. Lett.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2023</w:t>
      </w:r>
      <w:r w:rsidRPr="004E48C9">
        <w:rPr>
          <w:rFonts w:ascii="Arial" w:hAnsi="Arial" w:cs="Arial"/>
          <w:iCs/>
          <w:sz w:val="22"/>
          <w:szCs w:val="20"/>
          <w:lang w:val="en-GB"/>
        </w:rPr>
        <w:t>, No. I. https://doi.org/10.1021/acs.orglett.3c03191.</w:t>
      </w:r>
      <w:r w:rsidRPr="004E48C9">
        <w:rPr>
          <w:rFonts w:ascii="Arial" w:hAnsi="Arial" w:cs="Arial"/>
          <w:b/>
          <w:sz w:val="22"/>
          <w:szCs w:val="20"/>
        </w:rPr>
        <w:t xml:space="preserve"> (IF:5.2)</w:t>
      </w:r>
    </w:p>
    <w:p w14:paraId="7D59F872" w14:textId="6398CDB9" w:rsidR="004E48C9" w:rsidRPr="004E48C9" w:rsidRDefault="004E48C9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r w:rsidRPr="004E48C9">
        <w:rPr>
          <w:rFonts w:ascii="Arial" w:hAnsi="Arial" w:cs="Arial"/>
          <w:iCs/>
          <w:sz w:val="22"/>
          <w:szCs w:val="20"/>
          <w:lang w:val="en-GB"/>
        </w:rPr>
        <w:t>Vigier, C.</w:t>
      </w:r>
      <w:proofErr w:type="gramStart"/>
      <w:r w:rsidRPr="004E48C9">
        <w:rPr>
          <w:rFonts w:ascii="Arial" w:hAnsi="Arial" w:cs="Arial"/>
          <w:iCs/>
          <w:sz w:val="22"/>
          <w:szCs w:val="20"/>
          <w:lang w:val="en-GB"/>
        </w:rPr>
        <w:t>§ ;</w:t>
      </w:r>
      <w:proofErr w:type="gram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Fayolle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D. § ; El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Siblani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H.;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Sopkova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- de Oliveira Santos, J. 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Fabis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F. 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Cailly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T. ;*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Dubost, E.*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Synthesis and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physico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-chemical properties of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cryptophazane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a soluble and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functionalizable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C1-symmetrical cryptophane. </w:t>
      </w:r>
      <w:proofErr w:type="spellStart"/>
      <w:r w:rsidRPr="004E48C9">
        <w:rPr>
          <w:rFonts w:ascii="Arial" w:hAnsi="Arial" w:cs="Arial"/>
          <w:i/>
          <w:iCs/>
          <w:sz w:val="22"/>
          <w:szCs w:val="20"/>
          <w:lang w:val="en-GB"/>
        </w:rPr>
        <w:t>Angew</w:t>
      </w:r>
      <w:proofErr w:type="spellEnd"/>
      <w:r w:rsidRPr="004E48C9">
        <w:rPr>
          <w:rFonts w:ascii="Arial" w:hAnsi="Arial" w:cs="Arial"/>
          <w:i/>
          <w:iCs/>
          <w:sz w:val="22"/>
          <w:szCs w:val="20"/>
          <w:lang w:val="en-GB"/>
        </w:rPr>
        <w:t>. Chem. Int. Ed.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2022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. DOI: 10.1002/anie.202208580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(IF: 16.823)</w:t>
      </w:r>
    </w:p>
    <w:p w14:paraId="7F9D1E07" w14:textId="16711681" w:rsidR="004E48C9" w:rsidRPr="004E48C9" w:rsidRDefault="004E48C9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Mangeant, R.;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Cailly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T.;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Collot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V. Radiotracers for the Central Serotoninergic System. </w:t>
      </w:r>
      <w:r w:rsidRPr="004E48C9">
        <w:rPr>
          <w:rFonts w:ascii="Arial" w:hAnsi="Arial" w:cs="Arial"/>
          <w:i/>
          <w:iCs/>
          <w:sz w:val="22"/>
          <w:szCs w:val="20"/>
          <w:lang w:val="en-GB"/>
        </w:rPr>
        <w:t>Pharmaceuticals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2022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, DOI: 10.3390/ph15050571. </w:t>
      </w:r>
      <w:r w:rsidRPr="004E48C9">
        <w:rPr>
          <w:rFonts w:ascii="Arial" w:hAnsi="Arial" w:cs="Arial"/>
          <w:b/>
          <w:iCs/>
          <w:sz w:val="22"/>
          <w:szCs w:val="20"/>
          <w:lang w:val="en-GB"/>
        </w:rPr>
        <w:t>(IF: 5.863)</w:t>
      </w:r>
    </w:p>
    <w:p w14:paraId="4995F30B" w14:textId="3C16AE44" w:rsidR="004E48C9" w:rsidRPr="004E48C9" w:rsidRDefault="004E48C9" w:rsidP="004A3DE0">
      <w:pPr>
        <w:ind w:right="27" w:firstLine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4E48C9">
        <w:rPr>
          <w:rFonts w:ascii="Arial" w:hAnsi="Arial" w:cs="Arial"/>
          <w:iCs/>
          <w:sz w:val="22"/>
          <w:szCs w:val="20"/>
        </w:rPr>
        <w:t>Vigier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</w:t>
      </w:r>
      <w:proofErr w:type="gramStart"/>
      <w:r w:rsidRPr="004E48C9">
        <w:rPr>
          <w:rFonts w:ascii="Arial" w:hAnsi="Arial" w:cs="Arial"/>
          <w:iCs/>
          <w:sz w:val="22"/>
          <w:szCs w:val="20"/>
        </w:rPr>
        <w:t>C. ;</w:t>
      </w:r>
      <w:proofErr w:type="gramEnd"/>
      <w:r w:rsidRPr="004E48C9">
        <w:rPr>
          <w:rFonts w:ascii="Arial" w:hAnsi="Arial" w:cs="Arial"/>
          <w:iCs/>
          <w:sz w:val="22"/>
          <w:szCs w:val="20"/>
        </w:rPr>
        <w:t xml:space="preserve">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Fossé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P. ;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Fabis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F. ;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Cailly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>, T. ;*</w:t>
      </w:r>
      <w:r w:rsidRPr="004E48C9">
        <w:rPr>
          <w:rFonts w:ascii="Arial" w:hAnsi="Arial" w:cs="Arial"/>
          <w:b/>
          <w:iCs/>
          <w:sz w:val="22"/>
          <w:szCs w:val="20"/>
        </w:rPr>
        <w:t xml:space="preserve"> Dubost, E.* 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Controlled access to </w:t>
      </w:r>
      <w:r w:rsidRPr="004E48C9">
        <w:rPr>
          <w:rFonts w:ascii="Arial" w:hAnsi="Arial" w:cs="Arial"/>
          <w:i/>
          <w:iCs/>
          <w:sz w:val="22"/>
          <w:szCs w:val="20"/>
          <w:lang w:val="en-GB"/>
        </w:rPr>
        <w:t>C</w:t>
      </w:r>
      <w:r w:rsidRPr="004E48C9">
        <w:rPr>
          <w:rFonts w:ascii="Arial" w:hAnsi="Arial" w:cs="Arial"/>
          <w:i/>
          <w:iCs/>
          <w:sz w:val="22"/>
          <w:szCs w:val="20"/>
          <w:vertAlign w:val="subscript"/>
          <w:lang w:val="en-GB"/>
        </w:rPr>
        <w:t>1</w:t>
      </w:r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-symmetrical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cyclotriveratrylenes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(CTV) by using a sequential </w:t>
      </w:r>
      <w:proofErr w:type="spellStart"/>
      <w:r w:rsidRPr="004E48C9">
        <w:rPr>
          <w:rFonts w:ascii="Arial" w:hAnsi="Arial" w:cs="Arial"/>
          <w:iCs/>
          <w:sz w:val="22"/>
          <w:szCs w:val="20"/>
          <w:lang w:val="en-GB"/>
        </w:rPr>
        <w:t>Barluenga</w:t>
      </w:r>
      <w:proofErr w:type="spellEnd"/>
      <w:r w:rsidRPr="004E48C9">
        <w:rPr>
          <w:rFonts w:ascii="Arial" w:hAnsi="Arial" w:cs="Arial"/>
          <w:iCs/>
          <w:sz w:val="22"/>
          <w:szCs w:val="20"/>
          <w:lang w:val="en-GB"/>
        </w:rPr>
        <w:t xml:space="preserve"> Boronic Coupling (BBC) approach. </w:t>
      </w:r>
      <w:r w:rsidRPr="004E48C9">
        <w:rPr>
          <w:rFonts w:ascii="Arial" w:hAnsi="Arial" w:cs="Arial"/>
          <w:i/>
          <w:iCs/>
          <w:sz w:val="22"/>
          <w:szCs w:val="20"/>
        </w:rPr>
        <w:t xml:space="preserve">Adv. Synth. </w:t>
      </w:r>
      <w:proofErr w:type="spellStart"/>
      <w:r w:rsidRPr="004E48C9">
        <w:rPr>
          <w:rFonts w:ascii="Arial" w:hAnsi="Arial" w:cs="Arial"/>
          <w:i/>
          <w:iCs/>
          <w:sz w:val="22"/>
          <w:szCs w:val="20"/>
        </w:rPr>
        <w:t>Catal</w:t>
      </w:r>
      <w:proofErr w:type="spellEnd"/>
      <w:r w:rsidRPr="004E48C9">
        <w:rPr>
          <w:rFonts w:ascii="Arial" w:hAnsi="Arial" w:cs="Arial"/>
          <w:i/>
          <w:iCs/>
          <w:sz w:val="22"/>
          <w:szCs w:val="20"/>
        </w:rPr>
        <w:t xml:space="preserve">. </w:t>
      </w:r>
      <w:r w:rsidRPr="004E48C9">
        <w:rPr>
          <w:rFonts w:ascii="Arial" w:hAnsi="Arial" w:cs="Arial"/>
          <w:b/>
          <w:iCs/>
          <w:sz w:val="22"/>
          <w:szCs w:val="20"/>
        </w:rPr>
        <w:t>2021</w:t>
      </w:r>
      <w:r w:rsidRPr="004E48C9">
        <w:rPr>
          <w:rFonts w:ascii="Arial" w:hAnsi="Arial" w:cs="Arial"/>
          <w:iCs/>
          <w:sz w:val="22"/>
          <w:szCs w:val="20"/>
        </w:rPr>
        <w:t>,</w:t>
      </w:r>
      <w:r w:rsidRPr="004E48C9">
        <w:rPr>
          <w:rFonts w:ascii="Arial" w:hAnsi="Arial" w:cs="Arial"/>
          <w:i/>
          <w:iCs/>
          <w:sz w:val="22"/>
          <w:szCs w:val="20"/>
        </w:rPr>
        <w:t xml:space="preserve"> </w:t>
      </w:r>
      <w:r w:rsidRPr="004E48C9">
        <w:rPr>
          <w:rFonts w:ascii="Arial" w:hAnsi="Arial" w:cs="Arial"/>
          <w:sz w:val="22"/>
          <w:szCs w:val="20"/>
        </w:rPr>
        <w:t xml:space="preserve">363(15), 3756–3761. </w:t>
      </w:r>
      <w:r w:rsidRPr="004E48C9">
        <w:rPr>
          <w:rFonts w:ascii="Arial" w:hAnsi="Arial" w:cs="Arial"/>
          <w:b/>
          <w:sz w:val="22"/>
          <w:szCs w:val="20"/>
        </w:rPr>
        <w:t>(</w:t>
      </w:r>
      <w:proofErr w:type="gramStart"/>
      <w:r w:rsidRPr="004E48C9">
        <w:rPr>
          <w:rFonts w:ascii="Arial" w:hAnsi="Arial" w:cs="Arial"/>
          <w:b/>
          <w:sz w:val="22"/>
          <w:szCs w:val="20"/>
        </w:rPr>
        <w:t>IF :</w:t>
      </w:r>
      <w:proofErr w:type="gramEnd"/>
      <w:r w:rsidRPr="004E48C9">
        <w:rPr>
          <w:rFonts w:ascii="Arial" w:hAnsi="Arial" w:cs="Arial"/>
          <w:b/>
          <w:sz w:val="22"/>
          <w:szCs w:val="20"/>
        </w:rPr>
        <w:t xml:space="preserve"> 5.837)</w:t>
      </w:r>
    </w:p>
    <w:p w14:paraId="1899DA9E" w14:textId="702D233D" w:rsidR="004E48C9" w:rsidRDefault="004E48C9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</w:rPr>
      </w:pPr>
      <w:r w:rsidRPr="004E48C9">
        <w:rPr>
          <w:rFonts w:ascii="Arial" w:hAnsi="Arial" w:cs="Arial"/>
          <w:b/>
          <w:iCs/>
          <w:sz w:val="22"/>
          <w:szCs w:val="20"/>
        </w:rPr>
        <w:t>Dubost, E</w:t>
      </w:r>
      <w:r w:rsidRPr="004E48C9">
        <w:rPr>
          <w:rFonts w:ascii="Arial" w:hAnsi="Arial" w:cs="Arial"/>
          <w:iCs/>
          <w:sz w:val="22"/>
          <w:szCs w:val="20"/>
        </w:rPr>
        <w:t xml:space="preserve">.;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McErlain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H.;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Babin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V.; Sutherland, A.; </w:t>
      </w:r>
      <w:proofErr w:type="spellStart"/>
      <w:r w:rsidRPr="004E48C9">
        <w:rPr>
          <w:rFonts w:ascii="Arial" w:hAnsi="Arial" w:cs="Arial"/>
          <w:iCs/>
          <w:sz w:val="22"/>
          <w:szCs w:val="20"/>
        </w:rPr>
        <w:t>Cailly</w:t>
      </w:r>
      <w:proofErr w:type="spellEnd"/>
      <w:r w:rsidRPr="004E48C9">
        <w:rPr>
          <w:rFonts w:ascii="Arial" w:hAnsi="Arial" w:cs="Arial"/>
          <w:iCs/>
          <w:sz w:val="22"/>
          <w:szCs w:val="20"/>
        </w:rPr>
        <w:t xml:space="preserve">, T. Recent Advances in Synthetic Methods for Radioiodination. </w:t>
      </w:r>
      <w:r w:rsidRPr="004E48C9">
        <w:rPr>
          <w:rFonts w:ascii="Arial" w:hAnsi="Arial" w:cs="Arial"/>
          <w:i/>
          <w:iCs/>
          <w:sz w:val="22"/>
          <w:szCs w:val="20"/>
        </w:rPr>
        <w:t>J. Org. Chem.</w:t>
      </w:r>
      <w:r w:rsidRPr="004E48C9">
        <w:rPr>
          <w:rFonts w:ascii="Arial" w:hAnsi="Arial" w:cs="Arial"/>
          <w:iCs/>
          <w:sz w:val="22"/>
          <w:szCs w:val="20"/>
        </w:rPr>
        <w:t xml:space="preserve"> </w:t>
      </w:r>
      <w:r w:rsidRPr="004E48C9">
        <w:rPr>
          <w:rFonts w:ascii="Arial" w:hAnsi="Arial" w:cs="Arial"/>
          <w:b/>
          <w:bCs/>
          <w:iCs/>
          <w:sz w:val="22"/>
          <w:szCs w:val="20"/>
        </w:rPr>
        <w:t>2020</w:t>
      </w:r>
      <w:r w:rsidRPr="004E48C9">
        <w:rPr>
          <w:rFonts w:ascii="Arial" w:hAnsi="Arial" w:cs="Arial"/>
          <w:iCs/>
          <w:sz w:val="22"/>
          <w:szCs w:val="20"/>
        </w:rPr>
        <w:t xml:space="preserve">, </w:t>
      </w:r>
      <w:r w:rsidRPr="004E48C9">
        <w:rPr>
          <w:rFonts w:ascii="Arial" w:hAnsi="Arial" w:cs="Arial"/>
          <w:i/>
          <w:iCs/>
          <w:sz w:val="22"/>
          <w:szCs w:val="20"/>
        </w:rPr>
        <w:t>85</w:t>
      </w:r>
      <w:r w:rsidRPr="004E48C9">
        <w:rPr>
          <w:rFonts w:ascii="Arial" w:hAnsi="Arial" w:cs="Arial"/>
          <w:iCs/>
          <w:sz w:val="22"/>
          <w:szCs w:val="20"/>
        </w:rPr>
        <w:t xml:space="preserve"> (13), 8300–8310. </w:t>
      </w:r>
      <w:r w:rsidRPr="004E48C9">
        <w:rPr>
          <w:rFonts w:ascii="Arial" w:hAnsi="Arial" w:cs="Arial"/>
          <w:b/>
          <w:iCs/>
          <w:sz w:val="22"/>
          <w:szCs w:val="20"/>
        </w:rPr>
        <w:t xml:space="preserve">(IF :4.335) </w:t>
      </w:r>
      <w:r w:rsidRPr="004E48C9">
        <w:rPr>
          <w:rFonts w:ascii="Arial" w:hAnsi="Arial" w:cs="Arial"/>
          <w:iCs/>
          <w:sz w:val="22"/>
          <w:szCs w:val="20"/>
        </w:rPr>
        <w:t>(ACS Editor choice)</w:t>
      </w:r>
    </w:p>
    <w:p w14:paraId="0EADCA5B" w14:textId="3C38CDD1" w:rsidR="004A3DE0" w:rsidRDefault="004A3DE0" w:rsidP="004E48C9">
      <w:pPr>
        <w:ind w:right="-410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</w:p>
    <w:p w14:paraId="6A3C8CB6" w14:textId="77777777" w:rsidR="004A3DE0" w:rsidRPr="004E48C9" w:rsidRDefault="004A3DE0" w:rsidP="004E48C9">
      <w:pPr>
        <w:ind w:right="-410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</w:p>
    <w:p w14:paraId="1E17FDDD" w14:textId="77777777" w:rsidR="004E48C9" w:rsidRDefault="004E48C9" w:rsidP="008B36B6">
      <w:pPr>
        <w:pStyle w:val="DataField11pt-Single"/>
        <w:rPr>
          <w:b/>
          <w:bCs/>
          <w:szCs w:val="22"/>
        </w:rPr>
      </w:pPr>
    </w:p>
    <w:p w14:paraId="50C824A9" w14:textId="6C6FF507" w:rsidR="0012130F" w:rsidRPr="002A102C" w:rsidRDefault="0012130F" w:rsidP="008B36B6">
      <w:pPr>
        <w:pStyle w:val="DataField11pt-Single"/>
        <w:rPr>
          <w:b/>
          <w:bCs/>
          <w:szCs w:val="22"/>
        </w:rPr>
      </w:pPr>
      <w:r w:rsidRPr="002A102C">
        <w:rPr>
          <w:b/>
          <w:bCs/>
          <w:szCs w:val="22"/>
        </w:rPr>
        <w:t xml:space="preserve">Publications related to the proposed network program </w:t>
      </w:r>
    </w:p>
    <w:p w14:paraId="59D999B1" w14:textId="362A2891" w:rsidR="004A3DE0" w:rsidRDefault="004A3DE0" w:rsidP="004A3DE0">
      <w:pPr>
        <w:ind w:right="27" w:firstLine="284"/>
        <w:jc w:val="both"/>
        <w:rPr>
          <w:rFonts w:ascii="Arial" w:hAnsi="Arial" w:cs="Arial"/>
          <w:b/>
          <w:iCs/>
          <w:sz w:val="22"/>
          <w:szCs w:val="20"/>
          <w:lang w:val="en-GB"/>
        </w:rPr>
      </w:pP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Vigier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>, C.</w:t>
      </w:r>
      <w:proofErr w:type="gramStart"/>
      <w:r w:rsidRPr="004A3DE0">
        <w:rPr>
          <w:rFonts w:ascii="Arial" w:hAnsi="Arial" w:cs="Arial"/>
          <w:iCs/>
          <w:sz w:val="22"/>
          <w:szCs w:val="20"/>
          <w:lang w:val="en-GB"/>
        </w:rPr>
        <w:t>§ ;</w:t>
      </w:r>
      <w:proofErr w:type="gram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Fayolle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D. § ; El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Siblani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H.;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Sopkova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- de Oliveira Santos, J.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Fabis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F.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Cailly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T. ;*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E.*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Synthesis and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physico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-chemical properties of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cryptophazane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a soluble and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functionalizable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C1-symmetrical cryptophane. </w:t>
      </w:r>
      <w:proofErr w:type="spellStart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Angew</w:t>
      </w:r>
      <w:proofErr w:type="spellEnd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. Chem. Int. Ed.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2022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. DOI: 10.1002/anie.202208580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(IF: 16.823)</w:t>
      </w:r>
    </w:p>
    <w:p w14:paraId="0A6310C1" w14:textId="4018A982" w:rsidR="004A3DE0" w:rsidRDefault="004A3DE0" w:rsidP="004A3DE0">
      <w:pPr>
        <w:ind w:right="27" w:firstLine="284"/>
        <w:jc w:val="both"/>
        <w:rPr>
          <w:rFonts w:ascii="Arial" w:hAnsi="Arial" w:cs="Arial"/>
          <w:b/>
          <w:iCs/>
          <w:sz w:val="22"/>
          <w:szCs w:val="20"/>
          <w:lang w:val="en-GB"/>
        </w:rPr>
      </w:pP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Vigier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</w:t>
      </w:r>
      <w:proofErr w:type="gramStart"/>
      <w:r w:rsidRPr="004A3DE0">
        <w:rPr>
          <w:rFonts w:ascii="Arial" w:hAnsi="Arial" w:cs="Arial"/>
          <w:iCs/>
          <w:sz w:val="22"/>
          <w:szCs w:val="20"/>
          <w:lang w:val="en-GB"/>
        </w:rPr>
        <w:t>C. ;</w:t>
      </w:r>
      <w:proofErr w:type="gram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Fossé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P.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Fabis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F.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Cailly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T. ;*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E.*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Controlled access to C1-symmetrical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cyclotriveratrylenes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(CTV) by using a sequential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Barluenga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Boronic Coupling (BBC) approach. </w:t>
      </w:r>
      <w:r w:rsidRPr="004A3DE0">
        <w:rPr>
          <w:rFonts w:ascii="Arial" w:hAnsi="Arial" w:cs="Arial"/>
          <w:i/>
          <w:iCs/>
          <w:sz w:val="22"/>
          <w:szCs w:val="20"/>
          <w:lang w:val="en-GB"/>
        </w:rPr>
        <w:t xml:space="preserve">Adv. Synth. </w:t>
      </w:r>
      <w:proofErr w:type="spellStart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Catal</w:t>
      </w:r>
      <w:proofErr w:type="spellEnd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2021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363(15), 3756–3761.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</w:t>
      </w:r>
      <w:proofErr w:type="gramStart"/>
      <w:r w:rsidRPr="004A3DE0">
        <w:rPr>
          <w:rFonts w:ascii="Arial" w:hAnsi="Arial" w:cs="Arial"/>
          <w:b/>
          <w:iCs/>
          <w:sz w:val="22"/>
          <w:szCs w:val="20"/>
          <w:lang w:val="en-GB"/>
        </w:rPr>
        <w:t>IF :</w:t>
      </w:r>
      <w:proofErr w:type="gramEnd"/>
      <w:r w:rsidRPr="004A3DE0">
        <w:rPr>
          <w:rFonts w:ascii="Arial" w:hAnsi="Arial" w:cs="Arial"/>
          <w:b/>
          <w:iCs/>
          <w:sz w:val="22"/>
          <w:szCs w:val="20"/>
          <w:lang w:val="en-GB"/>
        </w:rPr>
        <w:t xml:space="preserve"> 5.837)</w:t>
      </w:r>
    </w:p>
    <w:p w14:paraId="0D2BAA1C" w14:textId="1458C937" w:rsidR="004A3DE0" w:rsidRDefault="004A3DE0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Kotera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N.;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Milanole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G.; Doris, E.; Gravel, E.;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Arhel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N.;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Brotin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T.;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Dutasta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J.-P.; Cochrane, J.; Mari, E.; Boutin, C.;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Leonce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E.;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Berthault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</w:t>
      </w:r>
      <w:proofErr w:type="gramStart"/>
      <w:r w:rsidRPr="004A3DE0">
        <w:rPr>
          <w:rFonts w:ascii="Arial" w:hAnsi="Arial" w:cs="Arial"/>
          <w:iCs/>
          <w:sz w:val="22"/>
          <w:szCs w:val="20"/>
          <w:lang w:val="en-GB"/>
        </w:rPr>
        <w:t>P .</w:t>
      </w:r>
      <w:proofErr w:type="gram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; Rousseau, B. A doubly smart probe for the detection of Cys4-tagged proteins. </w:t>
      </w:r>
      <w:r w:rsidRPr="004A3DE0">
        <w:rPr>
          <w:rFonts w:ascii="Arial" w:hAnsi="Arial" w:cs="Arial"/>
          <w:i/>
          <w:iCs/>
          <w:sz w:val="22"/>
          <w:szCs w:val="20"/>
          <w:lang w:val="en-GB"/>
        </w:rPr>
        <w:t xml:space="preserve">Chem. </w:t>
      </w:r>
      <w:proofErr w:type="spellStart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Commun</w:t>
      </w:r>
      <w:proofErr w:type="spellEnd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2015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51, 11482-11484.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(IF:6.29)</w:t>
      </w:r>
    </w:p>
    <w:p w14:paraId="5D7BD6FF" w14:textId="77777777" w:rsidR="004A3DE0" w:rsidRPr="004A3DE0" w:rsidRDefault="004A3DE0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Dognon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J.-P.; Rousseau, B.;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Milanole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G.;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Dugave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C.;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Boulard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Y.;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Léonce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E.; Boutin, C.;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Berthault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P. Understanding a Host–Guest Model System through </w:t>
      </w:r>
      <w:r w:rsidRPr="004A3DE0">
        <w:rPr>
          <w:rFonts w:ascii="Arial" w:hAnsi="Arial" w:cs="Arial"/>
          <w:iCs/>
          <w:sz w:val="22"/>
          <w:szCs w:val="20"/>
          <w:vertAlign w:val="superscript"/>
          <w:lang w:val="en-GB"/>
        </w:rPr>
        <w:t>129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Xe NMR Spectroscopic Experiments and Theoretical Studies. </w:t>
      </w:r>
      <w:proofErr w:type="spellStart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Angew</w:t>
      </w:r>
      <w:proofErr w:type="spellEnd"/>
      <w:r w:rsidRPr="004A3DE0">
        <w:rPr>
          <w:rFonts w:ascii="Arial" w:hAnsi="Arial" w:cs="Arial"/>
          <w:i/>
          <w:iCs/>
          <w:sz w:val="22"/>
          <w:szCs w:val="20"/>
          <w:lang w:val="en-GB"/>
        </w:rPr>
        <w:t>. Chem. Int. Ed.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2014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53, 9837–9840.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(IF:12.102)</w:t>
      </w:r>
    </w:p>
    <w:p w14:paraId="72F3DD29" w14:textId="7D64AE8D" w:rsidR="004A3DE0" w:rsidRPr="004A3DE0" w:rsidRDefault="004A3DE0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Tassali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N.;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Kotera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N.; Boutin, C.;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Léonce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E.;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Boulard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Y.; Rousseau, B.;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Taran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F.;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Brotin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B.;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Dutasta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J.-P.;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Berthault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>, P. Smart Detection of Toxic Metal Ions, Pb</w:t>
      </w:r>
      <w:r w:rsidRPr="004A3DE0">
        <w:rPr>
          <w:rFonts w:ascii="Arial" w:hAnsi="Arial" w:cs="Arial"/>
          <w:iCs/>
          <w:sz w:val="22"/>
          <w:szCs w:val="20"/>
          <w:vertAlign w:val="superscript"/>
          <w:lang w:val="en-GB"/>
        </w:rPr>
        <w:t>2+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and Cd</w:t>
      </w:r>
      <w:r w:rsidRPr="004A3DE0">
        <w:rPr>
          <w:rFonts w:ascii="Arial" w:hAnsi="Arial" w:cs="Arial"/>
          <w:iCs/>
          <w:sz w:val="22"/>
          <w:szCs w:val="20"/>
          <w:vertAlign w:val="superscript"/>
          <w:lang w:val="en-GB"/>
        </w:rPr>
        <w:t>2+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using a </w:t>
      </w:r>
      <w:r w:rsidRPr="004A3DE0">
        <w:rPr>
          <w:rFonts w:ascii="Arial" w:hAnsi="Arial" w:cs="Arial"/>
          <w:iCs/>
          <w:sz w:val="22"/>
          <w:szCs w:val="20"/>
          <w:vertAlign w:val="superscript"/>
          <w:lang w:val="en-GB"/>
        </w:rPr>
        <w:t>129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Xe NMR-based Sensor. </w:t>
      </w:r>
      <w:r w:rsidRPr="004A3DE0">
        <w:rPr>
          <w:rFonts w:ascii="Arial" w:hAnsi="Arial" w:cs="Arial"/>
          <w:i/>
          <w:iCs/>
          <w:sz w:val="22"/>
          <w:szCs w:val="20"/>
          <w:lang w:val="en-GB"/>
        </w:rPr>
        <w:t>Anal. Chem.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2014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,86, 1783-1788.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(IF:6.042)</w:t>
      </w:r>
    </w:p>
    <w:p w14:paraId="2D2C078B" w14:textId="49569852" w:rsidR="004A3DE0" w:rsidRPr="004A3DE0" w:rsidRDefault="004A3DE0" w:rsidP="004A3DE0">
      <w:pPr>
        <w:ind w:right="27" w:firstLine="284"/>
        <w:jc w:val="both"/>
        <w:rPr>
          <w:rFonts w:ascii="Arial" w:hAnsi="Arial" w:cs="Arial"/>
          <w:iCs/>
          <w:sz w:val="22"/>
          <w:szCs w:val="20"/>
          <w:lang w:val="en-GB"/>
        </w:rPr>
      </w:pPr>
      <w:r w:rsidRPr="004A3DE0">
        <w:rPr>
          <w:rFonts w:ascii="Arial" w:hAnsi="Arial" w:cs="Arial"/>
          <w:b/>
          <w:iCs/>
          <w:sz w:val="22"/>
          <w:szCs w:val="20"/>
          <w:lang w:val="en-GB"/>
        </w:rPr>
        <w:t>Dubost, E.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Kotera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</w:t>
      </w:r>
      <w:proofErr w:type="gramStart"/>
      <w:r w:rsidRPr="004A3DE0">
        <w:rPr>
          <w:rFonts w:ascii="Arial" w:hAnsi="Arial" w:cs="Arial"/>
          <w:iCs/>
          <w:sz w:val="22"/>
          <w:szCs w:val="20"/>
          <w:lang w:val="en-GB"/>
        </w:rPr>
        <w:t>N. ;</w:t>
      </w:r>
      <w:proofErr w:type="gram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Garcia-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Argote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S.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Boulard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Y. 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Léonce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E.; Boutin, C.;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Berthault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P.;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Dugave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C.; Rousseau, B. Synthesis of a </w:t>
      </w:r>
      <w:proofErr w:type="spellStart"/>
      <w:r w:rsidRPr="004A3DE0">
        <w:rPr>
          <w:rFonts w:ascii="Arial" w:hAnsi="Arial" w:cs="Arial"/>
          <w:iCs/>
          <w:sz w:val="22"/>
          <w:szCs w:val="20"/>
          <w:lang w:val="en-GB"/>
        </w:rPr>
        <w:t>functionalizable</w:t>
      </w:r>
      <w:proofErr w:type="spellEnd"/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water-soluble cryptophane-111. </w:t>
      </w:r>
      <w:r w:rsidRPr="004A3DE0">
        <w:rPr>
          <w:rFonts w:ascii="Arial" w:hAnsi="Arial" w:cs="Arial"/>
          <w:i/>
          <w:iCs/>
          <w:sz w:val="22"/>
          <w:szCs w:val="20"/>
          <w:lang w:val="en-GB"/>
        </w:rPr>
        <w:t>Org. Lett.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2013</w:t>
      </w:r>
      <w:r w:rsidRPr="004A3DE0">
        <w:rPr>
          <w:rFonts w:ascii="Arial" w:hAnsi="Arial" w:cs="Arial"/>
          <w:iCs/>
          <w:sz w:val="22"/>
          <w:szCs w:val="20"/>
          <w:lang w:val="en-GB"/>
        </w:rPr>
        <w:t xml:space="preserve">, 15, 2866–2868. </w:t>
      </w:r>
      <w:r w:rsidRPr="004A3DE0">
        <w:rPr>
          <w:rFonts w:ascii="Arial" w:hAnsi="Arial" w:cs="Arial"/>
          <w:b/>
          <w:iCs/>
          <w:sz w:val="22"/>
          <w:szCs w:val="20"/>
          <w:lang w:val="en-GB"/>
        </w:rPr>
        <w:t>(IF:6.492)</w:t>
      </w:r>
    </w:p>
    <w:p w14:paraId="1C8819C6" w14:textId="77777777" w:rsidR="00E86974" w:rsidRPr="002A102C" w:rsidRDefault="00E86974" w:rsidP="00E86974">
      <w:pPr>
        <w:pStyle w:val="DataField11pt-Single"/>
        <w:rPr>
          <w:b/>
          <w:bCs/>
          <w:szCs w:val="22"/>
        </w:rPr>
      </w:pPr>
    </w:p>
    <w:p w14:paraId="0A5C9507" w14:textId="35E00E42" w:rsidR="00087E80" w:rsidRPr="005035CC" w:rsidRDefault="00E86974" w:rsidP="00DB56C5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5035CC">
        <w:rPr>
          <w:b/>
          <w:bCs/>
          <w:szCs w:val="22"/>
        </w:rPr>
        <w:t>Current grant support</w:t>
      </w:r>
      <w:r w:rsidR="002A102C" w:rsidRPr="005035CC">
        <w:rPr>
          <w:b/>
          <w:bCs/>
          <w:szCs w:val="22"/>
        </w:rPr>
        <w:t xml:space="preserve"> </w:t>
      </w:r>
      <w:r w:rsidR="008B36B6" w:rsidRPr="005035CC">
        <w:rPr>
          <w:szCs w:val="22"/>
        </w:rPr>
        <w:t xml:space="preserve">- </w:t>
      </w:r>
      <w:r w:rsidR="009D239F" w:rsidRPr="005035CC">
        <w:rPr>
          <w:b/>
          <w:bCs/>
          <w:iCs/>
          <w:szCs w:val="22"/>
        </w:rPr>
        <w:t>20</w:t>
      </w:r>
      <w:r w:rsidR="001C408E" w:rsidRPr="005035CC">
        <w:rPr>
          <w:b/>
          <w:bCs/>
          <w:iCs/>
          <w:szCs w:val="22"/>
        </w:rPr>
        <w:t>24</w:t>
      </w:r>
      <w:r w:rsidR="009D239F" w:rsidRPr="005035CC">
        <w:rPr>
          <w:b/>
          <w:bCs/>
          <w:iCs/>
          <w:szCs w:val="22"/>
        </w:rPr>
        <w:t>-202</w:t>
      </w:r>
      <w:r w:rsidR="00802E98" w:rsidRPr="005035CC">
        <w:rPr>
          <w:b/>
          <w:bCs/>
          <w:iCs/>
          <w:szCs w:val="22"/>
        </w:rPr>
        <w:t>6</w:t>
      </w:r>
      <w:r w:rsidR="009D239F" w:rsidRPr="005035CC">
        <w:rPr>
          <w:iCs/>
          <w:szCs w:val="22"/>
        </w:rPr>
        <w:t xml:space="preserve"> </w:t>
      </w:r>
      <w:r w:rsidR="00802E98" w:rsidRPr="005035CC">
        <w:rPr>
          <w:iCs/>
          <w:szCs w:val="22"/>
        </w:rPr>
        <w:t xml:space="preserve">ANR-JC </w:t>
      </w:r>
      <w:proofErr w:type="spellStart"/>
      <w:r w:rsidR="00802E98" w:rsidRPr="005035CC">
        <w:rPr>
          <w:iCs/>
          <w:szCs w:val="22"/>
        </w:rPr>
        <w:t>Néo</w:t>
      </w:r>
      <w:proofErr w:type="spellEnd"/>
      <w:r w:rsidR="00802E98" w:rsidRPr="005035CC">
        <w:rPr>
          <w:iCs/>
          <w:szCs w:val="22"/>
        </w:rPr>
        <w:t xml:space="preserve">-Crypto, PI, 227 </w:t>
      </w:r>
      <w:proofErr w:type="spellStart"/>
      <w:r w:rsidR="00802E98" w:rsidRPr="005035CC">
        <w:rPr>
          <w:iCs/>
          <w:szCs w:val="22"/>
        </w:rPr>
        <w:t>kE</w:t>
      </w:r>
      <w:proofErr w:type="spellEnd"/>
      <w:r w:rsidR="002A102C" w:rsidRPr="005035CC">
        <w:rPr>
          <w:iCs/>
          <w:szCs w:val="22"/>
        </w:rPr>
        <w:t xml:space="preserve"> - </w:t>
      </w:r>
      <w:r w:rsidR="00254863" w:rsidRPr="005035CC">
        <w:rPr>
          <w:b/>
          <w:bCs/>
          <w:iCs/>
          <w:szCs w:val="22"/>
        </w:rPr>
        <w:t>202</w:t>
      </w:r>
      <w:r w:rsidR="00802E98" w:rsidRPr="005035CC">
        <w:rPr>
          <w:b/>
          <w:bCs/>
          <w:iCs/>
          <w:szCs w:val="22"/>
        </w:rPr>
        <w:t>4</w:t>
      </w:r>
      <w:r w:rsidR="00254863" w:rsidRPr="005035CC">
        <w:rPr>
          <w:b/>
          <w:bCs/>
          <w:iCs/>
          <w:szCs w:val="22"/>
        </w:rPr>
        <w:t>-202</w:t>
      </w:r>
      <w:r w:rsidR="002A102C" w:rsidRPr="005035CC">
        <w:rPr>
          <w:b/>
          <w:bCs/>
          <w:iCs/>
          <w:szCs w:val="22"/>
        </w:rPr>
        <w:t>6</w:t>
      </w:r>
      <w:r w:rsidR="00254863" w:rsidRPr="005035CC">
        <w:rPr>
          <w:iCs/>
          <w:szCs w:val="22"/>
        </w:rPr>
        <w:t xml:space="preserve"> </w:t>
      </w:r>
      <w:proofErr w:type="spellStart"/>
      <w:r w:rsidR="00802E98" w:rsidRPr="005035CC">
        <w:rPr>
          <w:iCs/>
          <w:szCs w:val="22"/>
        </w:rPr>
        <w:t>Norman</w:t>
      </w:r>
      <w:proofErr w:type="spellEnd"/>
      <w:r w:rsidR="00802E98" w:rsidRPr="005035CC">
        <w:rPr>
          <w:iCs/>
          <w:szCs w:val="22"/>
        </w:rPr>
        <w:t xml:space="preserve">die </w:t>
      </w:r>
      <w:proofErr w:type="spellStart"/>
      <w:r w:rsidR="00802E98" w:rsidRPr="005035CC">
        <w:rPr>
          <w:iCs/>
          <w:szCs w:val="22"/>
        </w:rPr>
        <w:t>Valorisation</w:t>
      </w:r>
      <w:proofErr w:type="spellEnd"/>
      <w:r w:rsidR="00802E98" w:rsidRPr="005035CC">
        <w:rPr>
          <w:iCs/>
          <w:szCs w:val="22"/>
        </w:rPr>
        <w:t xml:space="preserve"> financial support, PI, </w:t>
      </w:r>
      <w:r w:rsidR="005035CC" w:rsidRPr="005035CC">
        <w:rPr>
          <w:iCs/>
          <w:szCs w:val="22"/>
        </w:rPr>
        <w:t xml:space="preserve">288 </w:t>
      </w:r>
      <w:proofErr w:type="spellStart"/>
      <w:r w:rsidR="005035CC" w:rsidRPr="005035CC">
        <w:rPr>
          <w:iCs/>
          <w:szCs w:val="22"/>
        </w:rPr>
        <w:t>kE</w:t>
      </w:r>
      <w:proofErr w:type="spellEnd"/>
    </w:p>
    <w:p w14:paraId="6F8FC188" w14:textId="77777777" w:rsidR="005035CC" w:rsidRPr="005035CC" w:rsidRDefault="005035CC" w:rsidP="005035CC">
      <w:pPr>
        <w:pStyle w:val="DataField11pt-Single"/>
        <w:ind w:left="284"/>
        <w:jc w:val="both"/>
        <w:rPr>
          <w:b/>
          <w:bCs/>
          <w:szCs w:val="22"/>
        </w:rPr>
      </w:pPr>
    </w:p>
    <w:p w14:paraId="1FF53BCD" w14:textId="6721A34E" w:rsidR="005035CC" w:rsidRPr="008B36B6" w:rsidRDefault="00E86974" w:rsidP="005035CC">
      <w:pPr>
        <w:pStyle w:val="DataField11pt-Single"/>
        <w:numPr>
          <w:ilvl w:val="0"/>
          <w:numId w:val="23"/>
        </w:numPr>
        <w:ind w:left="284" w:hanging="284"/>
        <w:jc w:val="both"/>
        <w:rPr>
          <w:b/>
          <w:bCs/>
          <w:szCs w:val="22"/>
        </w:rPr>
      </w:pPr>
      <w:r w:rsidRPr="002A102C">
        <w:rPr>
          <w:b/>
          <w:bCs/>
          <w:szCs w:val="22"/>
        </w:rPr>
        <w:t xml:space="preserve">Previous experience in collaborative </w:t>
      </w:r>
      <w:r w:rsidR="002A102C" w:rsidRPr="002A102C">
        <w:rPr>
          <w:b/>
          <w:bCs/>
          <w:szCs w:val="22"/>
        </w:rPr>
        <w:t>research</w:t>
      </w:r>
      <w:r w:rsidR="008B36B6">
        <w:rPr>
          <w:b/>
          <w:bCs/>
          <w:szCs w:val="22"/>
        </w:rPr>
        <w:t xml:space="preserve"> - </w:t>
      </w:r>
      <w:r w:rsidR="002A102C" w:rsidRPr="008B36B6">
        <w:rPr>
          <w:b/>
          <w:bCs/>
          <w:color w:val="000000"/>
          <w:szCs w:val="22"/>
        </w:rPr>
        <w:t>2010-24:</w:t>
      </w:r>
      <w:r w:rsidR="002A102C" w:rsidRPr="008B36B6">
        <w:rPr>
          <w:color w:val="000000"/>
          <w:szCs w:val="22"/>
        </w:rPr>
        <w:t xml:space="preserve">  </w:t>
      </w:r>
      <w:r w:rsidR="005035CC" w:rsidRPr="008B36B6">
        <w:rPr>
          <w:b/>
          <w:bCs/>
          <w:iCs/>
          <w:szCs w:val="22"/>
        </w:rPr>
        <w:t>202</w:t>
      </w:r>
      <w:r w:rsidR="005035CC">
        <w:rPr>
          <w:b/>
          <w:bCs/>
          <w:iCs/>
          <w:szCs w:val="22"/>
        </w:rPr>
        <w:t>0</w:t>
      </w:r>
      <w:r w:rsidR="005035CC" w:rsidRPr="008B36B6">
        <w:rPr>
          <w:b/>
          <w:bCs/>
          <w:iCs/>
          <w:szCs w:val="22"/>
        </w:rPr>
        <w:t>-202</w:t>
      </w:r>
      <w:r w:rsidR="005035CC">
        <w:rPr>
          <w:b/>
          <w:bCs/>
          <w:iCs/>
          <w:szCs w:val="22"/>
        </w:rPr>
        <w:t>3</w:t>
      </w:r>
      <w:r w:rsidR="005035CC" w:rsidRPr="008B36B6">
        <w:rPr>
          <w:iCs/>
          <w:szCs w:val="22"/>
        </w:rPr>
        <w:t xml:space="preserve"> </w:t>
      </w:r>
      <w:r w:rsidR="005700E9">
        <w:rPr>
          <w:iCs/>
          <w:szCs w:val="22"/>
        </w:rPr>
        <w:t xml:space="preserve">RIN </w:t>
      </w:r>
      <w:r w:rsidR="005035CC">
        <w:rPr>
          <w:iCs/>
          <w:szCs w:val="22"/>
        </w:rPr>
        <w:t>Excellence chair</w:t>
      </w:r>
      <w:r w:rsidR="005035CC" w:rsidRPr="008B36B6">
        <w:rPr>
          <w:iCs/>
          <w:szCs w:val="22"/>
        </w:rPr>
        <w:t xml:space="preserve">, </w:t>
      </w:r>
      <w:r w:rsidR="005035CC">
        <w:rPr>
          <w:iCs/>
          <w:szCs w:val="22"/>
        </w:rPr>
        <w:t xml:space="preserve">from Normandy regional council, PI, 300 </w:t>
      </w:r>
      <w:proofErr w:type="spellStart"/>
      <w:r w:rsidR="005035CC">
        <w:rPr>
          <w:iCs/>
          <w:szCs w:val="22"/>
        </w:rPr>
        <w:t>kE</w:t>
      </w:r>
      <w:proofErr w:type="spellEnd"/>
      <w:r w:rsidR="005035CC">
        <w:rPr>
          <w:iCs/>
          <w:szCs w:val="22"/>
        </w:rPr>
        <w:t xml:space="preserve">; </w:t>
      </w:r>
      <w:r w:rsidR="005035CC" w:rsidRPr="005700E9">
        <w:rPr>
          <w:b/>
          <w:iCs/>
          <w:szCs w:val="22"/>
        </w:rPr>
        <w:t>2019</w:t>
      </w:r>
      <w:r w:rsidR="005700E9">
        <w:rPr>
          <w:iCs/>
          <w:szCs w:val="22"/>
        </w:rPr>
        <w:t xml:space="preserve"> RIN Emergence, PI, 110kE</w:t>
      </w:r>
    </w:p>
    <w:p w14:paraId="309389AF" w14:textId="79006A26" w:rsidR="002A102C" w:rsidRPr="008B36B6" w:rsidRDefault="002A102C" w:rsidP="005035CC">
      <w:pPr>
        <w:pStyle w:val="DataField11pt-Single"/>
        <w:jc w:val="both"/>
        <w:rPr>
          <w:b/>
          <w:bCs/>
          <w:szCs w:val="22"/>
        </w:rPr>
      </w:pPr>
    </w:p>
    <w:p w14:paraId="589BAECC" w14:textId="6DB683CE" w:rsidR="00F10D5C" w:rsidRDefault="00F10D5C">
      <w:pPr>
        <w:pStyle w:val="DataField11pt-Single"/>
        <w:rPr>
          <w:szCs w:val="22"/>
        </w:rPr>
      </w:pPr>
    </w:p>
    <w:p w14:paraId="400DFFD9" w14:textId="77777777" w:rsidR="00AC765F" w:rsidRPr="00AC765F" w:rsidRDefault="00AC765F" w:rsidP="00AC765F"/>
    <w:p w14:paraId="1803F317" w14:textId="6A91772B" w:rsidR="00AC765F" w:rsidRPr="00AC765F" w:rsidRDefault="00AC765F" w:rsidP="00AC765F">
      <w:pPr>
        <w:tabs>
          <w:tab w:val="left" w:pos="1184"/>
        </w:tabs>
      </w:pPr>
      <w:r>
        <w:tab/>
      </w:r>
    </w:p>
    <w:sectPr w:rsidR="00AC765F" w:rsidRPr="00AC765F" w:rsidSect="00E86974">
      <w:footerReference w:type="default" r:id="rId10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55BC" w14:textId="77777777" w:rsidR="00FE26EF" w:rsidRDefault="00FE26EF">
      <w:r>
        <w:separator/>
      </w:r>
    </w:p>
  </w:endnote>
  <w:endnote w:type="continuationSeparator" w:id="0">
    <w:p w14:paraId="25F82F1E" w14:textId="77777777" w:rsidR="00FE26EF" w:rsidRDefault="00FE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49CF" w14:textId="77777777" w:rsidR="00FE26EF" w:rsidRDefault="00FE26EF">
      <w:r>
        <w:separator/>
      </w:r>
    </w:p>
  </w:footnote>
  <w:footnote w:type="continuationSeparator" w:id="0">
    <w:p w14:paraId="5FAC42E7" w14:textId="77777777" w:rsidR="00FE26EF" w:rsidRDefault="00FE2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3338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 w15:restartNumberingAfterBreak="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26"/>
  </w:num>
  <w:num w:numId="13">
    <w:abstractNumId w:val="17"/>
  </w:num>
  <w:num w:numId="14">
    <w:abstractNumId w:val="32"/>
  </w:num>
  <w:num w:numId="15">
    <w:abstractNumId w:val="30"/>
  </w:num>
  <w:num w:numId="16">
    <w:abstractNumId w:val="0"/>
  </w:num>
  <w:num w:numId="17">
    <w:abstractNumId w:val="31"/>
  </w:num>
  <w:num w:numId="18">
    <w:abstractNumId w:val="19"/>
  </w:num>
  <w:num w:numId="19">
    <w:abstractNumId w:val="28"/>
  </w:num>
  <w:num w:numId="20">
    <w:abstractNumId w:val="29"/>
  </w:num>
  <w:num w:numId="21">
    <w:abstractNumId w:val="11"/>
  </w:num>
  <w:num w:numId="22">
    <w:abstractNumId w:val="27"/>
  </w:num>
  <w:num w:numId="23">
    <w:abstractNumId w:val="12"/>
  </w:num>
  <w:num w:numId="24">
    <w:abstractNumId w:val="15"/>
  </w:num>
  <w:num w:numId="25">
    <w:abstractNumId w:val="20"/>
  </w:num>
  <w:num w:numId="26">
    <w:abstractNumId w:val="18"/>
  </w:num>
  <w:num w:numId="27">
    <w:abstractNumId w:val="33"/>
  </w:num>
  <w:num w:numId="28">
    <w:abstractNumId w:val="22"/>
  </w:num>
  <w:num w:numId="29">
    <w:abstractNumId w:val="21"/>
  </w:num>
  <w:num w:numId="30">
    <w:abstractNumId w:val="23"/>
  </w:num>
  <w:num w:numId="31">
    <w:abstractNumId w:val="13"/>
  </w:num>
  <w:num w:numId="32">
    <w:abstractNumId w:val="16"/>
  </w:num>
  <w:num w:numId="33">
    <w:abstractNumId w:val="24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750F"/>
    <w:rsid w:val="00184571"/>
    <w:rsid w:val="001C408E"/>
    <w:rsid w:val="001C43B3"/>
    <w:rsid w:val="001D614A"/>
    <w:rsid w:val="001E2E6C"/>
    <w:rsid w:val="001F651B"/>
    <w:rsid w:val="00200EC2"/>
    <w:rsid w:val="00243B99"/>
    <w:rsid w:val="0024498C"/>
    <w:rsid w:val="00254863"/>
    <w:rsid w:val="00293D94"/>
    <w:rsid w:val="002A102C"/>
    <w:rsid w:val="002A1EAC"/>
    <w:rsid w:val="002B756D"/>
    <w:rsid w:val="002C61B8"/>
    <w:rsid w:val="002E4188"/>
    <w:rsid w:val="002E7C35"/>
    <w:rsid w:val="00301535"/>
    <w:rsid w:val="00320857"/>
    <w:rsid w:val="003639A9"/>
    <w:rsid w:val="003B0717"/>
    <w:rsid w:val="003C33A4"/>
    <w:rsid w:val="003F6A45"/>
    <w:rsid w:val="00406D48"/>
    <w:rsid w:val="00416B77"/>
    <w:rsid w:val="00425157"/>
    <w:rsid w:val="00442476"/>
    <w:rsid w:val="00456FF9"/>
    <w:rsid w:val="00487E41"/>
    <w:rsid w:val="004902DD"/>
    <w:rsid w:val="004A1D38"/>
    <w:rsid w:val="004A3DE0"/>
    <w:rsid w:val="004B13CB"/>
    <w:rsid w:val="004E48C9"/>
    <w:rsid w:val="004E6F6F"/>
    <w:rsid w:val="005035CC"/>
    <w:rsid w:val="0050371E"/>
    <w:rsid w:val="00562E32"/>
    <w:rsid w:val="005700E9"/>
    <w:rsid w:val="0057565C"/>
    <w:rsid w:val="00582C99"/>
    <w:rsid w:val="00585EC0"/>
    <w:rsid w:val="00591135"/>
    <w:rsid w:val="005A559A"/>
    <w:rsid w:val="005B0470"/>
    <w:rsid w:val="005D7220"/>
    <w:rsid w:val="006041D2"/>
    <w:rsid w:val="00647EEB"/>
    <w:rsid w:val="006555D6"/>
    <w:rsid w:val="006928B2"/>
    <w:rsid w:val="006E18ED"/>
    <w:rsid w:val="006E2E1E"/>
    <w:rsid w:val="006E300E"/>
    <w:rsid w:val="00703307"/>
    <w:rsid w:val="00762279"/>
    <w:rsid w:val="007655ED"/>
    <w:rsid w:val="00773910"/>
    <w:rsid w:val="00795B56"/>
    <w:rsid w:val="00795EEB"/>
    <w:rsid w:val="007A2E7B"/>
    <w:rsid w:val="007C1C1B"/>
    <w:rsid w:val="007D0B58"/>
    <w:rsid w:val="007E40FF"/>
    <w:rsid w:val="007E6042"/>
    <w:rsid w:val="00802E98"/>
    <w:rsid w:val="00806988"/>
    <w:rsid w:val="00821221"/>
    <w:rsid w:val="008212AE"/>
    <w:rsid w:val="0083192F"/>
    <w:rsid w:val="008618C3"/>
    <w:rsid w:val="00866F29"/>
    <w:rsid w:val="00867902"/>
    <w:rsid w:val="008713B7"/>
    <w:rsid w:val="00877B2D"/>
    <w:rsid w:val="008B3285"/>
    <w:rsid w:val="008B36B6"/>
    <w:rsid w:val="008C2CFB"/>
    <w:rsid w:val="008F237A"/>
    <w:rsid w:val="009246EF"/>
    <w:rsid w:val="00931C3B"/>
    <w:rsid w:val="00934E42"/>
    <w:rsid w:val="00946049"/>
    <w:rsid w:val="0095747B"/>
    <w:rsid w:val="00982EA8"/>
    <w:rsid w:val="009D239F"/>
    <w:rsid w:val="009E7C20"/>
    <w:rsid w:val="00A20E00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F6E1A"/>
    <w:rsid w:val="00C12D1C"/>
    <w:rsid w:val="00C228E2"/>
    <w:rsid w:val="00C374DC"/>
    <w:rsid w:val="00CA612B"/>
    <w:rsid w:val="00CA6417"/>
    <w:rsid w:val="00CB136C"/>
    <w:rsid w:val="00D151D9"/>
    <w:rsid w:val="00D27509"/>
    <w:rsid w:val="00D61C13"/>
    <w:rsid w:val="00D96283"/>
    <w:rsid w:val="00DA5A09"/>
    <w:rsid w:val="00DC27B2"/>
    <w:rsid w:val="00DC6CD0"/>
    <w:rsid w:val="00DD5F31"/>
    <w:rsid w:val="00DE391B"/>
    <w:rsid w:val="00E05CE7"/>
    <w:rsid w:val="00E4605A"/>
    <w:rsid w:val="00E46415"/>
    <w:rsid w:val="00E86974"/>
    <w:rsid w:val="00EF069F"/>
    <w:rsid w:val="00EF6F56"/>
    <w:rsid w:val="00F10D5C"/>
    <w:rsid w:val="00F67628"/>
    <w:rsid w:val="00F765C2"/>
    <w:rsid w:val="00F91565"/>
    <w:rsid w:val="00FD3979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Lienhypertexte">
    <w:name w:val="Hyperlink"/>
    <w:rsid w:val="00456FF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hypertextesuivi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3910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Emmanuelle Dubost</cp:lastModifiedBy>
  <cp:revision>3</cp:revision>
  <cp:lastPrinted>2004-10-05T11:04:00Z</cp:lastPrinted>
  <dcterms:created xsi:type="dcterms:W3CDTF">2024-09-23T14:00:00Z</dcterms:created>
  <dcterms:modified xsi:type="dcterms:W3CDTF">2024-09-23T14:01:00Z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